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numPr>
          <w:ilvl w:val="0"/>
          <w:numId w:val="0"/>
        </w:numPr>
        <w:ind w:hanging="0" w:left="0"/>
        <w:jc w:val="right"/>
        <w:outlineLvl w:val="0"/>
        <w:rPr>
          <w:sz w:val="22"/>
        </w:rPr>
      </w:pPr>
      <w:r>
        <w:rPr>
          <w:sz w:val="22"/>
        </w:rPr>
        <w:t>Утверждена постановлением Правительства</w:t>
      </w:r>
    </w:p>
    <w:p>
      <w:pPr>
        <w:pStyle w:val="ConsPlusNormal1"/>
        <w:widowControl/>
        <w:jc w:val="right"/>
        <w:rPr>
          <w:sz w:val="22"/>
        </w:rPr>
      </w:pPr>
      <w:r>
        <w:rPr>
          <w:sz w:val="22"/>
        </w:rPr>
        <w:t>Российской Федерации от 7 марта 2025г. № 293</w:t>
      </w:r>
    </w:p>
    <w:p>
      <w:pPr>
        <w:pStyle w:val="ConsPlusNormal1"/>
        <w:rPr>
          <w:b/>
        </w:rPr>
      </w:pPr>
      <w:r>
        <w:rPr>
          <w:b/>
        </w:rPr>
      </w:r>
    </w:p>
    <w:p>
      <w:pPr>
        <w:pStyle w:val="Normal"/>
        <w:ind w:firstLine="709"/>
        <w:jc w:val="center"/>
        <w:rPr>
          <w:b/>
          <w:sz w:val="21"/>
        </w:rPr>
      </w:pPr>
      <w:r>
        <w:rPr>
          <w:b/>
          <w:sz w:val="21"/>
        </w:rPr>
        <w:t xml:space="preserve">ДОГОВОР № УК </w:t>
      </w:r>
      <w:r>
        <w:rPr>
          <w:sz w:val="21"/>
        </w:rPr>
        <w:t>– _________</w:t>
      </w:r>
    </w:p>
    <w:p>
      <w:pPr>
        <w:pStyle w:val="ConsPlusNormal1"/>
        <w:widowControl/>
        <w:jc w:val="center"/>
        <w:rPr>
          <w:b/>
        </w:rPr>
      </w:pPr>
      <w:r>
        <w:rPr>
          <w:sz w:val="21"/>
        </w:rPr>
        <w:t>на оказание услуг по обращению с твердыми коммунальными отходами</w:t>
      </w:r>
    </w:p>
    <w:p>
      <w:pPr>
        <w:pStyle w:val="ConsPlusNormal1"/>
        <w:widowControl/>
        <w:jc w:val="both"/>
        <w:rPr/>
      </w:pPr>
      <w:r>
        <w:rPr/>
      </w:r>
    </w:p>
    <w:p>
      <w:pPr>
        <w:pStyle w:val="ConsPlusNormal1"/>
        <w:widowControl/>
        <w:jc w:val="both"/>
        <w:rPr/>
      </w:pPr>
      <w:r>
        <w:rPr/>
        <w:t>_______________________________                                                             "__" _____________ 20__ г.</w:t>
      </w:r>
    </w:p>
    <w:p>
      <w:pPr>
        <w:pStyle w:val="ConsPlusNormal1"/>
        <w:widowControl/>
        <w:jc w:val="both"/>
        <w:rPr>
          <w:sz w:val="22"/>
        </w:rPr>
      </w:pPr>
      <w:r>
        <w:rPr/>
        <w:t xml:space="preserve">      </w:t>
      </w:r>
      <w:r>
        <w:rPr>
          <w:sz w:val="22"/>
        </w:rPr>
        <w:t xml:space="preserve">  </w:t>
      </w:r>
      <w:r>
        <w:rPr>
          <w:sz w:val="22"/>
        </w:rPr>
        <w:t>(место заключения договора)</w:t>
      </w:r>
    </w:p>
    <w:p>
      <w:pPr>
        <w:pStyle w:val="ConsPlusNormal1"/>
        <w:widowControl/>
        <w:jc w:val="both"/>
        <w:rPr/>
      </w:pPr>
      <w:r>
        <w:rPr/>
      </w:r>
    </w:p>
    <w:p>
      <w:pPr>
        <w:pStyle w:val="ConsPlusNormal1"/>
        <w:widowControl/>
        <w:jc w:val="both"/>
        <w:rPr/>
      </w:pPr>
      <w:r>
        <w:rPr>
          <w:b/>
          <w:sz w:val="21"/>
        </w:rPr>
        <w:t>Акционерное общество «Крайжилкомресурс»</w:t>
      </w:r>
      <w:r>
        <w:rPr/>
        <w:t>, именуемое в дальнейшем региональным оператором по обращению с твердыми коммунальными отходами (далее - Региональный оператор), в лице ____________________________________________________________________________________,</w:t>
      </w:r>
    </w:p>
    <w:p>
      <w:pPr>
        <w:pStyle w:val="ConsPlusNormal1"/>
        <w:widowControl/>
        <w:jc w:val="both"/>
        <w:rPr>
          <w:sz w:val="22"/>
        </w:rPr>
      </w:pPr>
      <w:r>
        <w:rPr/>
        <w:t xml:space="preserve">    </w:t>
      </w:r>
      <w:r>
        <w:rPr>
          <w:sz w:val="22"/>
        </w:rPr>
        <w:t xml:space="preserve">                               </w:t>
      </w:r>
      <w:r>
        <w:rPr>
          <w:sz w:val="20"/>
        </w:rPr>
        <w:t xml:space="preserve"> </w:t>
      </w:r>
      <w:r>
        <w:rPr>
          <w:sz w:val="20"/>
        </w:rPr>
        <w:t>(наименование должности, фамилия, имя, отчество (при наличии) физического лица)</w:t>
      </w:r>
    </w:p>
    <w:p>
      <w:pPr>
        <w:pStyle w:val="ConsPlusNormal1"/>
        <w:widowControl/>
        <w:jc w:val="both"/>
        <w:rPr/>
      </w:pPr>
      <w:r>
        <w:rPr/>
        <w:t>действующего на основании   __________________________________________________________,</w:t>
      </w:r>
    </w:p>
    <w:p>
      <w:pPr>
        <w:pStyle w:val="ConsPlusNormal1"/>
        <w:widowControl/>
        <w:jc w:val="both"/>
        <w:rPr>
          <w:sz w:val="22"/>
        </w:rPr>
      </w:pPr>
      <w:r>
        <w:rPr/>
        <w:t xml:space="preserve">                                                               </w:t>
      </w:r>
      <w:r>
        <w:rPr>
          <w:sz w:val="20"/>
        </w:rPr>
        <w:t xml:space="preserve">     </w:t>
      </w:r>
      <w:r>
        <w:rPr>
          <w:sz w:val="20"/>
        </w:rPr>
        <w:t>(положение, устав, доверенность - указать нужное)</w:t>
      </w:r>
    </w:p>
    <w:p>
      <w:pPr>
        <w:pStyle w:val="ConsPlusNormal1"/>
        <w:widowControl/>
        <w:jc w:val="both"/>
        <w:rPr/>
      </w:pPr>
      <w:r>
        <w:rPr>
          <w:sz w:val="24"/>
          <w:szCs w:val="24"/>
        </w:rPr>
        <w:t xml:space="preserve">лицензии на осуществление деятельности по сбору, транспортированию, обработке, утилизации, обезвреживанию, размещению отходов I–IV классов опасности серия 023 № 00601, выданной Федеральной службой по надзору в сфере природопользования 12.02.2018, в соответствии с соглашением по обращению с твердыми коммунальными отходами по Белореченской зоне деятельности от 14.01.2019, заключенным с министерством ТЭК и ЖКХ Краснодарского края, с одной стороны, </w:t>
      </w:r>
      <w:r>
        <w:rPr>
          <w:sz w:val="24"/>
          <w:szCs w:val="24"/>
        </w:rPr>
        <w:t xml:space="preserve">и </w:t>
      </w:r>
      <w:r>
        <w:rPr/>
        <w:t>_______________________________________________________________</w:t>
      </w:r>
      <w:r>
        <w:rPr/>
        <w:t>____________________________________________________________________________________________________</w:t>
      </w:r>
      <w:r>
        <w:rPr/>
        <w:t>____,</w:t>
      </w:r>
    </w:p>
    <w:p>
      <w:pPr>
        <w:pStyle w:val="ConsPlusNormal1"/>
        <w:widowControl/>
        <w:jc w:val="both"/>
        <w:rPr>
          <w:sz w:val="22"/>
        </w:rPr>
      </w:pPr>
      <w:r>
        <w:rPr/>
        <w:t xml:space="preserve">                              </w:t>
      </w:r>
      <w:r>
        <w:rPr>
          <w:sz w:val="20"/>
        </w:rPr>
        <w:t xml:space="preserve">   </w:t>
      </w:r>
      <w:r>
        <w:rPr>
          <w:sz w:val="20"/>
        </w:rPr>
        <w:t>(наименование организации, фамилия, имя, отчество (при наличии) физического лица)</w:t>
      </w:r>
    </w:p>
    <w:p>
      <w:pPr>
        <w:pStyle w:val="ConsPlusNormal1"/>
        <w:widowControl/>
        <w:jc w:val="both"/>
        <w:rPr/>
      </w:pPr>
      <w:r>
        <w:rPr/>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юридическим лицом, уполномоченным действовать от своего имени в интересах потребителя (далее - уполномоченная организация), в лице________________________________________________________________________________,</w:t>
      </w:r>
    </w:p>
    <w:p>
      <w:pPr>
        <w:pStyle w:val="ConsPlusNormal1"/>
        <w:widowControl/>
        <w:jc w:val="center"/>
        <w:rPr>
          <w:sz w:val="20"/>
        </w:rPr>
      </w:pPr>
      <w:r>
        <w:rPr>
          <w:sz w:val="20"/>
        </w:rPr>
        <w:t xml:space="preserve">   </w:t>
      </w:r>
      <w:r>
        <w:rPr>
          <w:sz w:val="18"/>
        </w:rPr>
        <w:t xml:space="preserve">     </w:t>
      </w:r>
      <w:r>
        <w:rPr>
          <w:sz w:val="18"/>
        </w:rPr>
        <w:t>(наименование должности, фамилия, имя, отчество (при наличии) - в случае заключения договора юридическим лицом)</w:t>
      </w:r>
    </w:p>
    <w:p>
      <w:pPr>
        <w:pStyle w:val="ConsPlusNormal1"/>
        <w:widowControl/>
        <w:jc w:val="both"/>
        <w:rPr/>
      </w:pPr>
      <w:r>
        <w:rPr/>
        <w:t>действующего на основании ___________________________________________________________,</w:t>
      </w:r>
    </w:p>
    <w:p>
      <w:pPr>
        <w:pStyle w:val="ConsPlusNormal1"/>
        <w:widowControl/>
        <w:jc w:val="both"/>
        <w:rPr>
          <w:sz w:val="20"/>
        </w:rPr>
      </w:pPr>
      <w:r>
        <w:rPr/>
        <w:t xml:space="preserve">            </w:t>
      </w:r>
      <w:r>
        <w:rPr>
          <w:sz w:val="22"/>
        </w:rPr>
        <w:t xml:space="preserve">                                                           </w:t>
      </w:r>
      <w:r>
        <w:rPr>
          <w:sz w:val="20"/>
        </w:rPr>
        <w:t xml:space="preserve">   </w:t>
      </w:r>
      <w:r>
        <w:rPr>
          <w:sz w:val="20"/>
        </w:rPr>
        <w:t>(положение, устав, доверенность - указать нужное)</w:t>
      </w:r>
    </w:p>
    <w:p>
      <w:pPr>
        <w:pStyle w:val="ConsPlusNormal1"/>
        <w:widowControl/>
        <w:jc w:val="both"/>
        <w:rPr/>
      </w:pPr>
      <w:r>
        <w:rPr/>
        <w:t>с другой стороны, именуемые в дальнейшем сторонами, заключили настоящий договор о нижеследующем:</w:t>
      </w:r>
    </w:p>
    <w:p>
      <w:pPr>
        <w:pStyle w:val="ConsPlusNormal1"/>
        <w:widowControl/>
        <w:numPr>
          <w:ilvl w:val="0"/>
          <w:numId w:val="0"/>
        </w:numPr>
        <w:ind w:hanging="0" w:left="0"/>
        <w:jc w:val="center"/>
        <w:outlineLvl w:val="1"/>
        <w:rPr>
          <w:b/>
        </w:rPr>
      </w:pPr>
      <w:r>
        <w:rPr>
          <w:b/>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 Предмет договора</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1.1. По настоящему договору Региональный оператор обязуется принимать твердые коммунальные отходы (далее-ТКО)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в установленном порядке единого тарифа на услугу регионального оператора.</w:t>
      </w:r>
    </w:p>
    <w:p>
      <w:pPr>
        <w:pStyle w:val="ConsPlusNormal1"/>
        <w:widowControl/>
        <w:ind w:firstLine="567"/>
        <w:jc w:val="both"/>
        <w:rPr>
          <w:rFonts w:ascii="Times New Roman" w:hAnsi="Times New Roman"/>
          <w:sz w:val="24"/>
          <w:szCs w:val="24"/>
        </w:rPr>
      </w:pPr>
      <w:r>
        <w:rPr>
          <w:rFonts w:ascii="Times New Roman" w:hAnsi="Times New Roman"/>
          <w:sz w:val="24"/>
          <w:szCs w:val="24"/>
        </w:rPr>
        <w:t>1.2. Объем и (или) масса ТКО, места (площадки) накопления ТКО, в том числе крупногабаритных отходов (далее - КГО), способ складирования и периодичность вывоза, а также информация о размещении мест (площадок) накопления ТКО определяется согласно Приложению № 1.</w:t>
      </w:r>
    </w:p>
    <w:p>
      <w:pPr>
        <w:pStyle w:val="ConsPlusNormal1"/>
        <w:widowControl/>
        <w:ind w:firstLine="567"/>
        <w:jc w:val="both"/>
        <w:rPr>
          <w:rFonts w:ascii="Times New Roman" w:hAnsi="Times New Roman"/>
          <w:sz w:val="24"/>
          <w:szCs w:val="24"/>
        </w:rPr>
      </w:pPr>
      <w:r>
        <w:rPr>
          <w:rFonts w:ascii="Times New Roman" w:hAnsi="Times New Roman"/>
          <w:sz w:val="24"/>
          <w:szCs w:val="24"/>
        </w:rPr>
        <w:t>1.3. Датой начала оказания услуг считается "___" ___________ 20___ г.</w:t>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II. Сроки и порядок оплаты по договору</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2.1. Под расчетным периодом в настоящем  договоре понимается 1 (один) календарный месяц.</w:t>
      </w:r>
    </w:p>
    <w:p>
      <w:pPr>
        <w:pStyle w:val="ConsPlusNormal1"/>
        <w:widowControl/>
        <w:ind w:firstLine="567"/>
        <w:jc w:val="both"/>
        <w:rPr>
          <w:rFonts w:ascii="Times New Roman" w:hAnsi="Times New Roman"/>
          <w:sz w:val="24"/>
          <w:szCs w:val="24"/>
        </w:rPr>
      </w:pPr>
      <w:r>
        <w:rPr>
          <w:rFonts w:ascii="Times New Roman" w:hAnsi="Times New Roman"/>
          <w:sz w:val="24"/>
          <w:szCs w:val="24"/>
        </w:rPr>
        <w:t xml:space="preserve">2.2. Оплата в настоящем договоре осуществляется по цене, определенной в пределах утвержденного единого тарифа на услугу регионального оператора.          </w:t>
      </w:r>
    </w:p>
    <w:p>
      <w:pPr>
        <w:pStyle w:val="Normal"/>
        <w:ind w:firstLine="567"/>
        <w:jc w:val="both"/>
        <w:rPr>
          <w:rFonts w:ascii="Times New Roman" w:hAnsi="Times New Roman"/>
          <w:sz w:val="24"/>
          <w:szCs w:val="24"/>
        </w:rPr>
      </w:pPr>
      <w:r>
        <w:rPr>
          <w:rFonts w:ascii="Times New Roman" w:hAnsi="Times New Roman"/>
          <w:sz w:val="24"/>
          <w:szCs w:val="24"/>
        </w:rPr>
        <w:t>2.3. 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15–го числа месяца, следующего за месяцем, в котором были оказаны услуги.</w:t>
      </w:r>
    </w:p>
    <w:p>
      <w:pPr>
        <w:pStyle w:val="Normal"/>
        <w:ind w:firstLine="567"/>
        <w:jc w:val="both"/>
        <w:rPr>
          <w:rFonts w:ascii="Times New Roman" w:hAnsi="Times New Roman"/>
          <w:sz w:val="24"/>
          <w:szCs w:val="24"/>
        </w:rPr>
      </w:pPr>
      <w:r>
        <w:rPr>
          <w:rFonts w:ascii="Times New Roman" w:hAnsi="Times New Roman"/>
          <w:sz w:val="24"/>
          <w:szCs w:val="24"/>
        </w:rPr>
        <w:t>В платежном поручении Потребителя на оплату услуг Регионального оператора в поле «Назначение платежа» обязательно указание номера настоящего договора.</w:t>
      </w:r>
    </w:p>
    <w:p>
      <w:pPr>
        <w:pStyle w:val="Normal"/>
        <w:ind w:firstLine="567"/>
        <w:jc w:val="both"/>
        <w:rPr>
          <w:rFonts w:ascii="Times New Roman" w:hAnsi="Times New Roman"/>
          <w:sz w:val="24"/>
          <w:szCs w:val="24"/>
        </w:rPr>
      </w:pPr>
      <w:r>
        <w:rPr>
          <w:rFonts w:ascii="Times New Roman" w:hAnsi="Times New Roman"/>
          <w:sz w:val="24"/>
          <w:szCs w:val="24"/>
        </w:rPr>
        <w:t>2.4.Собственники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pPr>
        <w:pStyle w:val="Normal"/>
        <w:ind w:firstLine="567"/>
        <w:jc w:val="both"/>
        <w:rPr>
          <w:rFonts w:ascii="Times New Roman" w:hAnsi="Times New Roman"/>
          <w:sz w:val="24"/>
          <w:szCs w:val="24"/>
        </w:rPr>
      </w:pPr>
      <w:r>
        <w:rPr>
          <w:rFonts w:ascii="Times New Roman" w:hAnsi="Times New Roman"/>
          <w:sz w:val="24"/>
          <w:szCs w:val="24"/>
        </w:rPr>
        <w:t>2.5.Потребитель самостоятельно получает у Регионального оператора счет на оплату и акт оказанных услуг до 5 (пятого) числа месяца, следующего за расчетным, и до 10 (десятого) числа этого месяца возвращает надлежащим образом оформленный, а именно подписанный уполномоченным лицом и скрепленный печатью (при ее наличии) акт оказанных услуг Региональному оператору либо предоставляет мотивированный письменный отказ от его подписания.</w:t>
      </w:r>
    </w:p>
    <w:p>
      <w:pPr>
        <w:pStyle w:val="Normal"/>
        <w:ind w:firstLine="567"/>
        <w:jc w:val="both"/>
        <w:rPr>
          <w:rFonts w:ascii="Times New Roman" w:hAnsi="Times New Roman"/>
          <w:sz w:val="24"/>
          <w:szCs w:val="24"/>
        </w:rPr>
      </w:pPr>
      <w:r>
        <w:rPr>
          <w:rFonts w:ascii="Times New Roman" w:hAnsi="Times New Roman"/>
          <w:sz w:val="24"/>
          <w:szCs w:val="24"/>
        </w:rPr>
        <w:t>2.6.В случае, если в течение указанного в пункте 2.5. настоящего договора срока акт оказанных услуг не будет подписан Потребителем и представлен Региональному оператору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pPr>
        <w:pStyle w:val="Normal"/>
        <w:ind w:firstLine="567"/>
        <w:jc w:val="both"/>
        <w:rPr>
          <w:rFonts w:ascii="Times New Roman" w:hAnsi="Times New Roman"/>
          <w:sz w:val="24"/>
          <w:szCs w:val="24"/>
        </w:rPr>
      </w:pPr>
      <w:r>
        <w:rPr>
          <w:rFonts w:ascii="Times New Roman" w:hAnsi="Times New Roman"/>
          <w:sz w:val="24"/>
          <w:szCs w:val="24"/>
        </w:rPr>
        <w:t>2.7. Региональный оператор вправе самостоятельно направлять акт оказанных услуг в адрес Потребителя.</w:t>
      </w:r>
    </w:p>
    <w:p>
      <w:pPr>
        <w:pStyle w:val="Normal"/>
        <w:ind w:firstLine="567"/>
        <w:jc w:val="both"/>
        <w:rPr>
          <w:rFonts w:ascii="Times New Roman" w:hAnsi="Times New Roman"/>
          <w:sz w:val="24"/>
          <w:szCs w:val="24"/>
        </w:rPr>
      </w:pPr>
      <w:r>
        <w:rPr>
          <w:rFonts w:ascii="Times New Roman" w:hAnsi="Times New Roman"/>
          <w:sz w:val="24"/>
          <w:szCs w:val="24"/>
        </w:rPr>
        <w:t>2.8. Датой оплаты услуг считается дата зачисления денежных средств на расчётный счёт Регионального оператора.</w:t>
      </w:r>
    </w:p>
    <w:p>
      <w:pPr>
        <w:pStyle w:val="Normal"/>
        <w:ind w:firstLine="567"/>
        <w:jc w:val="both"/>
        <w:rPr>
          <w:rFonts w:ascii="Times New Roman" w:hAnsi="Times New Roman"/>
          <w:sz w:val="24"/>
          <w:szCs w:val="24"/>
        </w:rPr>
      </w:pPr>
      <w:r>
        <w:rPr>
          <w:rFonts w:ascii="Times New Roman" w:hAnsi="Times New Roman"/>
          <w:sz w:val="24"/>
          <w:szCs w:val="24"/>
        </w:rPr>
        <w:t>2.9. При изменении цены услуг по обращению с ТКО Региональный оператор сообщает о данном факте в очередном счете на оплату, направляемом Потребителю с указанием новой цены услуг.</w:t>
      </w:r>
    </w:p>
    <w:p>
      <w:pPr>
        <w:pStyle w:val="Normal"/>
        <w:ind w:firstLine="567"/>
        <w:jc w:val="both"/>
        <w:rPr>
          <w:rFonts w:ascii="Times New Roman" w:hAnsi="Times New Roman"/>
          <w:sz w:val="24"/>
          <w:szCs w:val="24"/>
        </w:rPr>
      </w:pPr>
      <w:r>
        <w:rPr>
          <w:rFonts w:ascii="Times New Roman" w:hAnsi="Times New Roman"/>
          <w:sz w:val="24"/>
          <w:szCs w:val="24"/>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 размещения информации на официальном сайте Регионального оператора.</w:t>
      </w:r>
    </w:p>
    <w:p>
      <w:pPr>
        <w:pStyle w:val="Normal"/>
        <w:jc w:val="both"/>
        <w:rPr>
          <w:rFonts w:ascii="Times New Roman" w:hAnsi="Times New Roman"/>
          <w:sz w:val="24"/>
          <w:szCs w:val="24"/>
        </w:rPr>
      </w:pPr>
      <w:r>
        <w:rPr>
          <w:rFonts w:ascii="Times New Roman" w:hAnsi="Times New Roman"/>
          <w:sz w:val="24"/>
          <w:szCs w:val="24"/>
        </w:rPr>
        <w:t>Стороны признают размещение информации посредством публикации в средствах массовой информации и размещения информации на официальном сайте Регионального оператора надлежащим уведомлением. При этом дополнительное согласование с Потребителем и (или) внесение изменений в настоящий договор не требуется.</w:t>
      </w:r>
    </w:p>
    <w:p>
      <w:pPr>
        <w:pStyle w:val="Normal"/>
        <w:ind w:firstLine="567"/>
        <w:jc w:val="both"/>
        <w:rPr>
          <w:rFonts w:ascii="Times New Roman" w:hAnsi="Times New Roman"/>
          <w:sz w:val="24"/>
          <w:szCs w:val="24"/>
        </w:rPr>
      </w:pPr>
      <w:r>
        <w:rPr>
          <w:rFonts w:ascii="Times New Roman" w:hAnsi="Times New Roman"/>
          <w:sz w:val="24"/>
          <w:szCs w:val="24"/>
        </w:rPr>
        <w:t>2.10. Сверка расчетов по настоящему договору проводится между Региональным оператором и Потребителем (уполномоченной организацией) не реже 1 (одного) раза в год по инициативе одной из Сторон путем составления и подписания Сторонами Акта сверки расчетов.</w:t>
      </w:r>
    </w:p>
    <w:p>
      <w:pPr>
        <w:pStyle w:val="Normal"/>
        <w:ind w:firstLine="567"/>
        <w:jc w:val="both"/>
        <w:rPr>
          <w:rFonts w:ascii="Times New Roman" w:hAnsi="Times New Roman"/>
          <w:sz w:val="24"/>
          <w:szCs w:val="24"/>
        </w:rPr>
      </w:pPr>
      <w:r>
        <w:rPr>
          <w:rFonts w:ascii="Times New Roman" w:hAnsi="Times New Roman"/>
          <w:sz w:val="24"/>
          <w:szCs w:val="24"/>
        </w:rPr>
        <w:t>2.11.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w:t>
      </w:r>
    </w:p>
    <w:p>
      <w:pPr>
        <w:pStyle w:val="Normal"/>
        <w:ind w:firstLine="567"/>
        <w:jc w:val="both"/>
        <w:rPr>
          <w:rFonts w:ascii="Times New Roman" w:hAnsi="Times New Roman"/>
          <w:sz w:val="24"/>
          <w:szCs w:val="24"/>
        </w:rPr>
      </w:pPr>
      <w:r>
        <w:rPr>
          <w:rFonts w:ascii="Times New Roman" w:hAnsi="Times New Roman"/>
          <w:sz w:val="24"/>
          <w:szCs w:val="24"/>
        </w:rPr>
        <w:t>Другая сторона обязана подписать Акт сверки расчетов в течение 3 (трех) рабочих дней со дня его получения или предоставить мотивированный отказ от его подписания с направлением своего варианта Акта сверки расчетов.</w:t>
      </w:r>
    </w:p>
    <w:p>
      <w:pPr>
        <w:pStyle w:val="Normal"/>
        <w:ind w:firstLine="567"/>
        <w:jc w:val="both"/>
        <w:rPr>
          <w:rFonts w:ascii="Times New Roman" w:hAnsi="Times New Roman"/>
          <w:sz w:val="24"/>
          <w:szCs w:val="24"/>
        </w:rPr>
      </w:pPr>
      <w:r>
        <w:rPr>
          <w:rFonts w:ascii="Times New Roman" w:hAnsi="Times New Roman"/>
          <w:sz w:val="24"/>
          <w:szCs w:val="24"/>
        </w:rPr>
        <w:t>2.12. 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III. Передача ТКО</w:t>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firstLine="567" w:left="0"/>
        <w:jc w:val="both"/>
        <w:outlineLvl w:val="1"/>
        <w:rPr>
          <w:rFonts w:ascii="Times New Roman" w:hAnsi="Times New Roman"/>
          <w:sz w:val="24"/>
          <w:szCs w:val="24"/>
        </w:rPr>
      </w:pPr>
      <w:r>
        <w:rPr>
          <w:rFonts w:ascii="Times New Roman" w:hAnsi="Times New Roman"/>
          <w:sz w:val="24"/>
          <w:szCs w:val="24"/>
        </w:rPr>
        <w:t>3.1. 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pPr>
        <w:pStyle w:val="ConsPlusNormal1"/>
        <w:widowControl/>
        <w:numPr>
          <w:ilvl w:val="0"/>
          <w:numId w:val="0"/>
        </w:numPr>
        <w:ind w:firstLine="567" w:left="0"/>
        <w:jc w:val="both"/>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IV. Права и обязанности Сторон</w:t>
      </w:r>
    </w:p>
    <w:p>
      <w:pPr>
        <w:pStyle w:val="Norma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4.1.Региональный оператор обязан:</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4.1.1. Принимать ТКО, КГО в объеме и (или) массе и в месте, которые предусмотрены в Приложении № 1 к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4.1.2.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захоронение принятых ТКО в соответствии с законодательством РФ.</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4.1.3. Представлять Потребителю  (уполномоченной организации) информацию в соответствии со стандартами раскрытия информации в области обращения с ТКО в порядке, предусмотренном законодательством РФ.</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4.1.4.Отвечать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РФ для рассмотрения обращений граждан.</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4.1.5.В случае, предусмотренном пунктом 6.1. настоящего Договора, устранить допущенные нарушения в срок, не превышающий 1 (одни) сутки с даты и времени поступления уведомления о нарушении условий договора.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4.1.6.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4.1.7.С даты включения уполномоченным органом в единый тариф на услугу Регионального оператора затрат, предусмотренных постановлением Правительства РФ от 30.05.2016 № 484                      «О ценообразовании в области обращения с твердыми коммунальными отходами»,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4.1.8. Осуществлять действия по подбору оброненных (просыпавшихся) при погрузке твердых коммунальных отходов и перемещению их в мусоровоз.</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4.2.Региональный оператор вправе: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4.2.1.Обеспечивать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4.2.2.В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4.2.3.Инициировать проведение сверки расчетов по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4.2.4.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4.2.5.Не принимать от Потребителя отходы, не указанные в Приложении № 1 к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4.3.Потребитель (уполномоченная организация)  обязан:</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4.3.1.Предъявлять Региональному оператору ТКО, КГО, указанные в Приложении № 1 к настоящему договору и разрешенные к приему на объекте размещения отходов.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4.3.2.Осуществлять складирование ТКО, КГО в местах  (площадках) накопления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4.3.3.Обеспечивать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РФ от 24.05.2024 № 671  «</w:t>
      </w:r>
      <w:r>
        <w:rPr>
          <w:rFonts w:ascii="Times New Roman" w:hAnsi="Times New Roman"/>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rFonts w:ascii="Times New Roman" w:hAnsi="Times New Roman"/>
          <w:sz w:val="24"/>
          <w:szCs w:val="24"/>
        </w:rPr>
        <w:t>».</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4.3.4.Производить оплату по настоящему договору в порядке, размере и сроки, предусмотренные настоящим договором.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4.3.5.Не допускать повреждения контейнеров и (или) бункеров, сжигания ТКО, КГО в контейнерах и (или) бункерах, и на контейнерных площадках, складирования в контейнеры  (или) бункерах запрещенных отходов и предметов, не являющихся твердыми коммунальными отходами.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4.3.6.Не допускать перемещения контейнера (ов) и/или бункера (ов) с площадки без согласования с Региональным оператором.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4.3.7.Обеспечить Региональному оператору беспрепятственный доступ к месту накопления ТКО, в том числе не допускать наличие припаркованных автомобилей и т.п.</w:t>
        <w:tab/>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4.3.8.Обеспечить организацию и содержание контейнерных площадок, в случаях и порядке установленных законодательством РФ.</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4.3.9.В случае обнаружения возгорания ТКО или КГО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телефону:   Тел.: +7 (800) 300 98 04, доб. 1700, 1703.</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4.3.10.Предоставить Региональному оператору по его запросу документацию или сведения, необходимые для исполнения настоящего договора.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4.3.11.В случае изменения в ходе исполнения настоящего договора сведений, данных, предоставленных Потребителем при заключении договора, предоставить Региональному оператору в течение  5 (пяти) рабочих дней с даты изменений актуальные сведения, данные.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4.3.12.При необходимости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 Полномочия ответственного лица должны быть подтверждены доверенностью, выданной и оформленной в соответствии с требованиями действующего законодательства.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4.3.13.Уведомить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о переходе прав на объекты потребителя к новому собственнику в течение 5 (пяти) рабочих дней с даты перехода прав на объект (ы).</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4.3.14.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4.4.Потребитель (уполномоченная организация) имеет право:</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4.4.1.Получать от Регионального оператора информацию об изменении установленных тарифов в области обращения с ТКО.</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4.4.2.Инициировать проведение сверки расчетов по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4.4.4. Получать иную информацию от регионального оператора, не противоречащую требованиям законодательства Российской Федерации.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 Порядок осуществления учета объема и (или) массы</w:t>
      </w:r>
    </w:p>
    <w:p>
      <w:pPr>
        <w:pStyle w:val="ConsPlusNormal1"/>
        <w:widowControl/>
        <w:jc w:val="center"/>
        <w:rPr>
          <w:rFonts w:ascii="Times New Roman" w:hAnsi="Times New Roman"/>
          <w:sz w:val="24"/>
          <w:szCs w:val="24"/>
        </w:rPr>
      </w:pPr>
      <w:r>
        <w:rPr>
          <w:rFonts w:ascii="Times New Roman" w:hAnsi="Times New Roman"/>
          <w:b/>
          <w:sz w:val="24"/>
          <w:szCs w:val="24"/>
        </w:rPr>
        <w:t>твердых коммунальных отходов</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709"/>
        <w:jc w:val="both"/>
        <w:rPr>
          <w:rFonts w:ascii="Times New Roman" w:hAnsi="Times New Roman"/>
          <w:sz w:val="24"/>
          <w:szCs w:val="24"/>
        </w:rPr>
      </w:pPr>
      <w:r>
        <w:rPr>
          <w:rFonts w:ascii="Times New Roman" w:hAnsi="Times New Roman"/>
          <w:sz w:val="24"/>
          <w:szCs w:val="24"/>
        </w:rPr>
        <w:t>5.1.Стороны согласились производить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РФ от 24.05.2024 № 671 «</w:t>
      </w:r>
      <w:r>
        <w:rPr>
          <w:rFonts w:ascii="Times New Roman" w:hAnsi="Times New Roman"/>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rFonts w:ascii="Times New Roman" w:hAnsi="Times New Roman"/>
          <w:sz w:val="24"/>
          <w:szCs w:val="24"/>
        </w:rPr>
        <w:t>», расчетным путем исходя из:</w:t>
      </w:r>
    </w:p>
    <w:p>
      <w:pPr>
        <w:pStyle w:val="Normal"/>
        <w:rPr>
          <w:rFonts w:ascii="Times New Roman" w:hAnsi="Times New Roman"/>
          <w:sz w:val="24"/>
          <w:szCs w:val="24"/>
        </w:rPr>
      </w:pPr>
      <w:r>
        <w:rPr>
          <w:rFonts w:ascii="Times New Roman" w:hAnsi="Times New Roman"/>
          <w:sz w:val="24"/>
          <w:szCs w:val="24"/>
        </w:rPr>
        <w:t>-нормативов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pPr>
        <w:pStyle w:val="Normal"/>
        <w:rPr>
          <w:rFonts w:ascii="Times New Roman" w:hAnsi="Times New Roman"/>
          <w:sz w:val="24"/>
          <w:szCs w:val="24"/>
        </w:rPr>
      </w:pPr>
      <w:r>
        <w:rPr>
          <w:rFonts w:ascii="Times New Roman" w:hAnsi="Times New Roman"/>
          <w:sz w:val="24"/>
          <w:szCs w:val="24"/>
        </w:rPr>
        <w:t>-количества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 а также с учетом средней плотности ТКО, определенной в соответствии с пунктом 5  Правил  коммерческого учета объема и (или) массы твердых коммунальных отходов (в случае, если коммерческий учет осуществляется в показателях массы).</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VI. Порядок фиксации нарушений по договору</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6.1.О нарушении условий договора Потребитель (уполномоченная организация) ставит в известность Регионального оператора до 17 часов 00 минут следующего дня по телефонам:</w:t>
        <w:br/>
        <w:t xml:space="preserve"> +7 (800) 300 98 04, доб. _______, _______ с указанием номера договора, адреса объекта обслуживания, наименования потребителя и контактного номера телефона. В противном случае Региональный оператор освобождается от ответственности, при этом риск наступления неблагоприятных последствий несет Потребитель.</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6.2.В случае не устранения допущенных нарушений в срок, предусмотренный пунктом 4.1.5. настоящего договора,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6.3.Региональный оператор в течение 3 (трех)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(трех) рабочих дней со дня получения акта.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В случае если Региональный оператор не направил подписанный акт или возражения в течение 3 (трех) рабочих дней со дня получения акта,  акт считается согласованным и подписанным Региональным оператором.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6.4.В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6.5.Акт должен содержать: а) сведения о заявителе:  (наименование, местонахождение, адрес); 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в) сведения о нарушении соответствующих пунктов договора; г) другие сведения по усмотрению стороны, в том числе материалы фото – и видеосъемки.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6.6.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VII. Ответственность сторон</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7.2.В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7.3.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7.4.Региональный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К таким обстоятельствам относятся, в частности: отсутствие беспрепятственного доступа мусоровоза к месту (площадке) накопления отходов (в том числе из–за парковки автомобилей, неочищенных от снега подъездных путей и т.п.), перемещение Потребителем контейнеров с места (площадки) накопления отходов, возгорание отходов в контейнерах и др.</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При этом Региональным оператором (представителем Регионального оператора) может быть составлен акт о невозможности исполнения обязательств.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7.5.Потребитель несет ответственность за недостоверность данных, предоставленных Региональному оператору. В случае выявления Региональным оператором недостоверности предоставленных потребителем сведений, которые привели к искажению, в т.ч. занижению объемов накопления ТКО при расчете по договору, Региональный оператор вправе произвести перерасчет стоимости услуг за весь период действия настоящего договора, с учетом фактических данных.</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VIII. Обстоятельства непреодолимой силы</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8.1.Стороны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8.2.При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8.3.Сторона,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8.4.Сторона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IX Действие договора</w:t>
      </w:r>
    </w:p>
    <w:p>
      <w:pPr>
        <w:pStyle w:val="ConsPlusNormal1"/>
        <w:widowControl/>
        <w:ind w:firstLine="567"/>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9.1.Настоящий договор считается заключенным с даты подписания его Сторонами, указываемой Региональным оператором в правом верхнем углу на первой странице договора, распространяет свое действие на отношения Сторон, возникшие с _______________ и действует   по____________</w:t>
      </w:r>
    </w:p>
    <w:p>
      <w:pPr>
        <w:pStyle w:val="ConsPlusNormal1"/>
        <w:widowControl/>
        <w:ind w:firstLine="567"/>
        <w:jc w:val="both"/>
        <w:rPr>
          <w:rFonts w:ascii="Times New Roman" w:hAnsi="Times New Roman"/>
          <w:sz w:val="24"/>
          <w:szCs w:val="24"/>
        </w:rPr>
      </w:pPr>
      <w:r>
        <w:rPr>
          <w:rFonts w:ascii="Times New Roman" w:hAnsi="Times New Roman"/>
          <w:sz w:val="24"/>
          <w:szCs w:val="24"/>
        </w:rPr>
        <w:t>9.2.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pPr>
        <w:pStyle w:val="ConsPlusNormal1"/>
        <w:widowControl/>
        <w:ind w:firstLine="567"/>
        <w:jc w:val="both"/>
        <w:rPr>
          <w:rFonts w:ascii="Times New Roman" w:hAnsi="Times New Roman"/>
          <w:sz w:val="24"/>
          <w:szCs w:val="24"/>
        </w:rPr>
      </w:pPr>
      <w:r>
        <w:rPr>
          <w:rFonts w:ascii="Times New Roman" w:hAnsi="Times New Roman"/>
          <w:sz w:val="24"/>
          <w:szCs w:val="24"/>
        </w:rPr>
        <w:t>9.3. Настоящий договор может продлеваться не более чем по ________________.</w:t>
        <w:tab/>
      </w:r>
    </w:p>
    <w:p>
      <w:pPr>
        <w:pStyle w:val="ConsPlusNormal1"/>
        <w:widowControl/>
        <w:ind w:firstLine="567"/>
        <w:jc w:val="both"/>
        <w:rPr>
          <w:rFonts w:ascii="Times New Roman" w:hAnsi="Times New Roman"/>
          <w:sz w:val="24"/>
          <w:szCs w:val="24"/>
        </w:rPr>
      </w:pPr>
      <w:r>
        <w:rPr>
          <w:rFonts w:ascii="Times New Roman" w:hAnsi="Times New Roman"/>
          <w:sz w:val="24"/>
          <w:szCs w:val="24"/>
        </w:rPr>
        <w:t>9.4.Настоящий договор может быть расторгнут до окончания срока его действия:</w:t>
      </w:r>
    </w:p>
    <w:p>
      <w:pPr>
        <w:pStyle w:val="ConsPlusNormal1"/>
        <w:widowControl/>
        <w:ind w:firstLine="567"/>
        <w:jc w:val="both"/>
        <w:rPr>
          <w:rFonts w:ascii="Times New Roman" w:hAnsi="Times New Roman"/>
          <w:sz w:val="24"/>
          <w:szCs w:val="24"/>
        </w:rPr>
      </w:pPr>
      <w:r>
        <w:rPr>
          <w:rFonts w:ascii="Times New Roman" w:hAnsi="Times New Roman"/>
          <w:sz w:val="24"/>
          <w:szCs w:val="24"/>
        </w:rPr>
        <w:t>-по соглашению Сторон;</w:t>
      </w:r>
    </w:p>
    <w:p>
      <w:pPr>
        <w:pStyle w:val="ConsPlusNormal1"/>
        <w:widowControl/>
        <w:ind w:firstLine="567"/>
        <w:jc w:val="both"/>
        <w:rPr>
          <w:rFonts w:ascii="Times New Roman" w:hAnsi="Times New Roman"/>
          <w:sz w:val="24"/>
          <w:szCs w:val="24"/>
        </w:rPr>
      </w:pPr>
      <w:r>
        <w:rPr>
          <w:rFonts w:ascii="Times New Roman" w:hAnsi="Times New Roman"/>
          <w:sz w:val="24"/>
          <w:szCs w:val="24"/>
        </w:rPr>
        <w:t>-в случаях и порядке, предусмотренных действующим законодательством РФ.</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X. Разрешение споров</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10.1.Все споры и разногласия, возникающие между Сторонами в рамках настоящего договора, могут быть переданы на рассмотрение суда только после соблюдения претензионного порядка. Заинтересованная сторона вручает, направляет заказным письмом претензию другой стороне.</w:t>
      </w:r>
    </w:p>
    <w:p>
      <w:pPr>
        <w:pStyle w:val="ConsPlusNormal1"/>
        <w:widowControl/>
        <w:ind w:firstLine="567"/>
        <w:jc w:val="both"/>
        <w:rPr>
          <w:rFonts w:ascii="Times New Roman" w:hAnsi="Times New Roman"/>
          <w:sz w:val="24"/>
          <w:szCs w:val="24"/>
        </w:rPr>
      </w:pPr>
      <w:r>
        <w:rPr>
          <w:rFonts w:ascii="Times New Roman" w:hAnsi="Times New Roman"/>
          <w:sz w:val="24"/>
          <w:szCs w:val="24"/>
        </w:rPr>
        <w:t>10.2.Заинтересованная сторона приобретает право обратиться в суд по истечении 14 (четырнадцати) календарных дней с момента направления претензии другой Стороне.</w:t>
      </w:r>
    </w:p>
    <w:p>
      <w:pPr>
        <w:pStyle w:val="ConsPlusNormal1"/>
        <w:widowControl/>
        <w:jc w:val="both"/>
        <w:rPr>
          <w:rFonts w:ascii="Times New Roman" w:hAnsi="Times New Roman"/>
          <w:sz w:val="24"/>
          <w:szCs w:val="24"/>
        </w:rPr>
      </w:pPr>
      <w:r>
        <w:rPr>
          <w:rFonts w:ascii="Times New Roman" w:hAnsi="Times New Roman"/>
          <w:sz w:val="24"/>
          <w:szCs w:val="24"/>
        </w:rPr>
        <w:t>10.3.Споры, возникающие при исполнении настоящего договора, подлежат рассмотрению в Арбитражном суде Краснодарского края.</w:t>
      </w:r>
    </w:p>
    <w:p>
      <w:pPr>
        <w:pStyle w:val="ConsPlusNormal1"/>
        <w:widowControl/>
        <w:jc w:val="both"/>
        <w:rPr>
          <w:rFonts w:ascii="Times New Roman" w:hAnsi="Times New Roman"/>
          <w:b/>
          <w:sz w:val="24"/>
          <w:szCs w:val="24"/>
        </w:rPr>
      </w:pPr>
      <w:r>
        <w:rPr>
          <w:rFonts w:ascii="Times New Roman" w:hAnsi="Times New Roman"/>
          <w:b/>
          <w:sz w:val="24"/>
          <w:szCs w:val="24"/>
        </w:rPr>
      </w:r>
    </w:p>
    <w:p>
      <w:pPr>
        <w:pStyle w:val="ConsPlusNormal1"/>
        <w:widowControl/>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XI. Прочие условия</w:t>
      </w:r>
      <w:r>
        <w:rPr>
          <w:rFonts w:ascii="Times New Roman" w:hAnsi="Times New Roman"/>
          <w:sz w:val="24"/>
          <w:szCs w:val="24"/>
        </w:rPr>
        <w:tab/>
      </w:r>
    </w:p>
    <w:p>
      <w:pPr>
        <w:pStyle w:val="ConsPlusNormal1"/>
        <w:widowControl/>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11.1.Во всем остальном, не предусмотренном настоящим договором, Стороны руководствуются действующим законодательством Российской Федерации.</w:t>
      </w:r>
    </w:p>
    <w:p>
      <w:pPr>
        <w:pStyle w:val="ConsPlusNormal1"/>
        <w:widowControl/>
        <w:ind w:firstLine="567"/>
        <w:jc w:val="both"/>
        <w:rPr>
          <w:rFonts w:ascii="Times New Roman" w:hAnsi="Times New Roman"/>
          <w:sz w:val="24"/>
          <w:szCs w:val="24"/>
        </w:rPr>
      </w:pPr>
      <w:r>
        <w:rPr>
          <w:rFonts w:ascii="Times New Roman" w:hAnsi="Times New Roman"/>
          <w:sz w:val="24"/>
          <w:szCs w:val="24"/>
        </w:rPr>
        <w:t>11.2.Право собственности на ТКО, предъявленные в рамках настоящего договора, переходит к Региональному оператору с момента погрузки ТКО в мусоровоз.</w:t>
      </w:r>
    </w:p>
    <w:p>
      <w:pPr>
        <w:pStyle w:val="ConsPlusNormal1"/>
        <w:widowControl/>
        <w:ind w:firstLine="567"/>
        <w:jc w:val="both"/>
        <w:rPr>
          <w:rFonts w:ascii="Times New Roman" w:hAnsi="Times New Roman"/>
          <w:sz w:val="24"/>
          <w:szCs w:val="24"/>
        </w:rPr>
      </w:pPr>
      <w:r>
        <w:rPr>
          <w:rFonts w:ascii="Times New Roman" w:hAnsi="Times New Roman"/>
          <w:sz w:val="24"/>
          <w:szCs w:val="24"/>
        </w:rPr>
        <w:t>11.3.Все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pPr>
        <w:pStyle w:val="ConsPlusNormal1"/>
        <w:widowControl/>
        <w:ind w:firstLine="567"/>
        <w:jc w:val="both"/>
        <w:rPr>
          <w:rFonts w:ascii="Times New Roman" w:hAnsi="Times New Roman"/>
          <w:sz w:val="24"/>
          <w:szCs w:val="24"/>
        </w:rPr>
      </w:pPr>
      <w:r>
        <w:rPr>
          <w:rFonts w:ascii="Times New Roman" w:hAnsi="Times New Roman"/>
          <w:sz w:val="24"/>
          <w:szCs w:val="24"/>
        </w:rPr>
        <w:t>11.4.В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 подтвердить его получение.</w:t>
      </w:r>
    </w:p>
    <w:p>
      <w:pPr>
        <w:pStyle w:val="ConsPlusNormal1"/>
        <w:widowControl/>
        <w:ind w:firstLine="567"/>
        <w:jc w:val="both"/>
        <w:rPr>
          <w:rFonts w:ascii="Times New Roman" w:hAnsi="Times New Roman"/>
          <w:sz w:val="24"/>
          <w:szCs w:val="24"/>
        </w:rPr>
      </w:pPr>
      <w:r>
        <w:rPr>
          <w:rFonts w:ascii="Times New Roman" w:hAnsi="Times New Roman"/>
          <w:sz w:val="24"/>
          <w:szCs w:val="24"/>
        </w:rPr>
        <w:t>11.5.При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pPr>
        <w:pStyle w:val="ConsPlusNormal1"/>
        <w:widowControl/>
        <w:ind w:firstLine="567"/>
        <w:jc w:val="both"/>
        <w:rPr>
          <w:rFonts w:ascii="Times New Roman" w:hAnsi="Times New Roman"/>
          <w:sz w:val="24"/>
          <w:szCs w:val="24"/>
        </w:rPr>
      </w:pPr>
      <w:r>
        <w:rPr>
          <w:rFonts w:ascii="Times New Roman" w:hAnsi="Times New Roman"/>
          <w:sz w:val="24"/>
          <w:szCs w:val="24"/>
        </w:rPr>
        <w:t>11.6.По взаимному согласию Стороны при наличии возможности для организации электронного документооборота (далее – ЭДО) Стороны вправе использовать квалифицированную электронную цифровую подпись (далее по тексту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«Об электронной подписи».</w:t>
      </w:r>
    </w:p>
    <w:p>
      <w:pPr>
        <w:pStyle w:val="ConsPlusNormal1"/>
        <w:widowControl/>
        <w:ind w:firstLine="567"/>
        <w:jc w:val="both"/>
        <w:rPr>
          <w:rFonts w:ascii="Times New Roman" w:hAnsi="Times New Roman"/>
          <w:sz w:val="24"/>
          <w:szCs w:val="24"/>
        </w:rPr>
      </w:pPr>
      <w:r>
        <w:rPr>
          <w:rFonts w:ascii="Times New Roman" w:hAnsi="Times New Roman"/>
          <w:sz w:val="24"/>
          <w:szCs w:val="24"/>
        </w:rPr>
        <w:t>11.6.1.Электронные документы, отправляемые Стороной посредством системы ЭДО, подписываются квалифицированной электронной  цифровой подписью (далее – ЭЦП).</w:t>
      </w:r>
    </w:p>
    <w:p>
      <w:pPr>
        <w:pStyle w:val="ConsPlusNormal1"/>
        <w:widowControl/>
        <w:ind w:firstLine="567"/>
        <w:jc w:val="both"/>
        <w:rPr>
          <w:rFonts w:ascii="Times New Roman" w:hAnsi="Times New Roman"/>
          <w:sz w:val="24"/>
          <w:szCs w:val="24"/>
        </w:rPr>
      </w:pPr>
      <w:r>
        <w:rPr>
          <w:rFonts w:ascii="Times New Roman" w:hAnsi="Times New Roman"/>
          <w:sz w:val="24"/>
          <w:szCs w:val="24"/>
        </w:rPr>
        <w:t>11.6.2.Потребитель после получения документов от Регионального оператора посредством ЭДО подписывает документы ЭЦП и отправляет их в адрес Регионального оператора в сроки, указанные в пункте 2.5. настоящего договора посредством ЭДО, либо направляет  в адрес Регионального оператора мотивированный письменный отказ от их подписания.</w:t>
      </w:r>
    </w:p>
    <w:p>
      <w:pPr>
        <w:pStyle w:val="ConsPlusNormal1"/>
        <w:widowControl/>
        <w:ind w:firstLine="567"/>
        <w:jc w:val="both"/>
        <w:rPr>
          <w:rFonts w:ascii="Times New Roman" w:hAnsi="Times New Roman"/>
          <w:sz w:val="24"/>
          <w:szCs w:val="24"/>
        </w:rPr>
      </w:pPr>
      <w:r>
        <w:rPr>
          <w:rFonts w:ascii="Times New Roman" w:hAnsi="Times New Roman"/>
          <w:sz w:val="24"/>
          <w:szCs w:val="24"/>
        </w:rPr>
        <w:t>11.6.3.Стороны признают, что ЭЦП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pPr>
        <w:pStyle w:val="ConsPlusNormal1"/>
        <w:widowControl/>
        <w:ind w:firstLine="567"/>
        <w:jc w:val="both"/>
        <w:rPr>
          <w:rFonts w:ascii="Times New Roman" w:hAnsi="Times New Roman"/>
          <w:sz w:val="24"/>
          <w:szCs w:val="24"/>
        </w:rPr>
      </w:pPr>
      <w:r>
        <w:rPr>
          <w:rFonts w:ascii="Times New Roman" w:hAnsi="Times New Roman"/>
          <w:sz w:val="24"/>
          <w:szCs w:val="24"/>
        </w:rPr>
        <w:t>11.6.4. Стороны признают, что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pPr>
        <w:pStyle w:val="ConsPlusNormal1"/>
        <w:widowControl/>
        <w:ind w:firstLine="567"/>
        <w:jc w:val="both"/>
        <w:rPr>
          <w:rFonts w:ascii="Times New Roman" w:hAnsi="Times New Roman"/>
          <w:sz w:val="24"/>
          <w:szCs w:val="24"/>
        </w:rPr>
      </w:pPr>
      <w:r>
        <w:rPr>
          <w:rFonts w:ascii="Times New Roman" w:hAnsi="Times New Roman"/>
          <w:sz w:val="24"/>
          <w:szCs w:val="24"/>
        </w:rPr>
        <w:t>11.6.5.Стороны обязаны заблаговременно информировать друг друга о невозможности обмена документами в электронном виде, подписанными ЭЦП,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 2.5. настоящего договора.</w:t>
      </w:r>
    </w:p>
    <w:p>
      <w:pPr>
        <w:pStyle w:val="ConsPlusNormal1"/>
        <w:widowControl/>
        <w:ind w:firstLine="567"/>
        <w:jc w:val="both"/>
        <w:rPr>
          <w:rFonts w:ascii="Times New Roman" w:hAnsi="Times New Roman"/>
          <w:sz w:val="24"/>
          <w:szCs w:val="24"/>
        </w:rPr>
      </w:pPr>
      <w:r>
        <w:rPr>
          <w:rFonts w:ascii="Times New Roman" w:hAnsi="Times New Roman"/>
          <w:sz w:val="24"/>
          <w:szCs w:val="24"/>
        </w:rPr>
        <w:t>11.6.6.Электронный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pPr>
        <w:pStyle w:val="ConsPlusNormal1"/>
        <w:widowControl/>
        <w:ind w:firstLine="567"/>
        <w:jc w:val="both"/>
        <w:rPr>
          <w:rFonts w:ascii="Times New Roman" w:hAnsi="Times New Roman"/>
          <w:sz w:val="24"/>
          <w:szCs w:val="24"/>
        </w:rPr>
      </w:pPr>
      <w:r>
        <w:rPr>
          <w:rFonts w:ascii="Times New Roman" w:hAnsi="Times New Roman"/>
          <w:sz w:val="24"/>
          <w:szCs w:val="24"/>
        </w:rPr>
        <w:t>11.6.7.Каждая из Сторон несет ответственность за обеспечение конфиденциальности ключей ЭЦП, недопущение использования принадлежащих ей ключей без ее согласия. Если в сертификате ЭЦП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pPr>
        <w:pStyle w:val="ConsPlusNormal1"/>
        <w:widowControl/>
        <w:ind w:firstLine="567"/>
        <w:jc w:val="both"/>
        <w:rPr>
          <w:rFonts w:ascii="Times New Roman" w:hAnsi="Times New Roman"/>
          <w:sz w:val="24"/>
          <w:szCs w:val="24"/>
        </w:rPr>
      </w:pPr>
      <w:r>
        <w:rPr>
          <w:rFonts w:ascii="Times New Roman" w:hAnsi="Times New Roman"/>
          <w:sz w:val="24"/>
          <w:szCs w:val="24"/>
        </w:rPr>
        <w:t>11.6.8.Наличие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pPr>
        <w:pStyle w:val="ConsPlusNormal1"/>
        <w:widowControl/>
        <w:ind w:firstLine="567"/>
        <w:jc w:val="both"/>
        <w:rPr>
          <w:rFonts w:ascii="Times New Roman" w:hAnsi="Times New Roman"/>
          <w:sz w:val="24"/>
          <w:szCs w:val="24"/>
        </w:rPr>
      </w:pPr>
      <w:r>
        <w:rPr>
          <w:rFonts w:ascii="Times New Roman" w:hAnsi="Times New Roman"/>
          <w:sz w:val="24"/>
          <w:szCs w:val="24"/>
        </w:rPr>
        <w:t>11.7.Стороны пришли к соглашению, что положения статьи 317.1 ГК РФ не распространяются на отношения, возникшие в рамках настоящего договора.</w:t>
      </w:r>
    </w:p>
    <w:p>
      <w:pPr>
        <w:pStyle w:val="ConsPlusNormal1"/>
        <w:widowControl/>
        <w:ind w:firstLine="567"/>
        <w:jc w:val="both"/>
        <w:rPr>
          <w:rFonts w:ascii="Times New Roman" w:hAnsi="Times New Roman"/>
          <w:sz w:val="24"/>
          <w:szCs w:val="24"/>
        </w:rPr>
      </w:pPr>
      <w:r>
        <w:rPr>
          <w:rFonts w:ascii="Times New Roman" w:hAnsi="Times New Roman"/>
          <w:sz w:val="24"/>
          <w:szCs w:val="24"/>
        </w:rPr>
        <w:t>11.8.Настоящий договор составлен в 2 (двух) экземплярах, имеющих равную юридическую силу, по одному экземпляру для каждой из Сторон.</w:t>
      </w:r>
    </w:p>
    <w:p>
      <w:pPr>
        <w:pStyle w:val="ConsPlusNormal1"/>
        <w:widowControl/>
        <w:ind w:firstLine="567"/>
        <w:jc w:val="both"/>
        <w:rPr>
          <w:rFonts w:ascii="Times New Roman" w:hAnsi="Times New Roman"/>
          <w:sz w:val="24"/>
          <w:szCs w:val="24"/>
        </w:rPr>
      </w:pPr>
      <w:r>
        <w:rPr>
          <w:rFonts w:ascii="Times New Roman" w:hAnsi="Times New Roman"/>
          <w:sz w:val="24"/>
          <w:szCs w:val="24"/>
        </w:rPr>
        <w:t>11.9.Стороны договора,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pPr>
        <w:pStyle w:val="ConsPlusNormal1"/>
        <w:widowControl/>
        <w:ind w:firstLine="567"/>
        <w:jc w:val="both"/>
        <w:rPr>
          <w:rFonts w:ascii="Times New Roman" w:hAnsi="Times New Roman"/>
          <w:sz w:val="24"/>
          <w:szCs w:val="24"/>
        </w:rPr>
      </w:pPr>
      <w:r>
        <w:rPr>
          <w:rFonts w:ascii="Times New Roman" w:hAnsi="Times New Roman"/>
          <w:sz w:val="24"/>
          <w:szCs w:val="24"/>
        </w:rPr>
        <w:t>Для исполнения договора не допускается осуществлять действия, квалифицированные как дача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w:t>
      </w:r>
    </w:p>
    <w:p>
      <w:pPr>
        <w:pStyle w:val="ConsPlusNormal1"/>
        <w:widowControl/>
        <w:ind w:firstLine="567"/>
        <w:jc w:val="both"/>
        <w:rPr>
          <w:rFonts w:ascii="Times New Roman" w:hAnsi="Times New Roman"/>
          <w:sz w:val="24"/>
          <w:szCs w:val="24"/>
        </w:rPr>
      </w:pPr>
      <w:r>
        <w:rPr>
          <w:rFonts w:ascii="Times New Roman" w:hAnsi="Times New Roman"/>
          <w:sz w:val="24"/>
          <w:szCs w:val="24"/>
        </w:rPr>
        <w:t>В случае возникновения у стороны договора реальных оснований полагать о возможном нарушении данных требований она должна письменно уведомит об этом другую сторону.</w:t>
      </w:r>
    </w:p>
    <w:p>
      <w:pPr>
        <w:pStyle w:val="ConsPlusNormal1"/>
        <w:widowControl/>
        <w:ind w:firstLine="567"/>
        <w:jc w:val="both"/>
        <w:rPr>
          <w:rFonts w:ascii="Times New Roman" w:hAnsi="Times New Roman"/>
          <w:sz w:val="24"/>
          <w:szCs w:val="24"/>
        </w:rPr>
      </w:pPr>
      <w:r>
        <w:rPr>
          <w:rFonts w:ascii="Times New Roman" w:hAnsi="Times New Roman"/>
          <w:sz w:val="24"/>
          <w:szCs w:val="24"/>
        </w:rPr>
        <w:t>11.10.Приложения к настоящему договору являются его неотъемлемой частью. К настоящему договору прилагаются:</w:t>
      </w:r>
    </w:p>
    <w:p>
      <w:pPr>
        <w:pStyle w:val="ConsPlusNormal1"/>
        <w:widowControl/>
        <w:ind w:firstLine="567"/>
        <w:jc w:val="both"/>
        <w:rPr>
          <w:rFonts w:ascii="Times New Roman" w:hAnsi="Times New Roman"/>
          <w:sz w:val="24"/>
          <w:szCs w:val="24"/>
        </w:rPr>
      </w:pPr>
      <w:r>
        <w:rPr>
          <w:rFonts w:ascii="Times New Roman" w:hAnsi="Times New Roman"/>
          <w:sz w:val="24"/>
          <w:szCs w:val="24"/>
        </w:rPr>
        <w:t>11.11. Спорные вопросы между сторонами урегулируются в соответствии с законодательством Российской Федерации.</w:t>
      </w:r>
    </w:p>
    <w:p>
      <w:pPr>
        <w:pStyle w:val="ConsPlusNormal1"/>
        <w:widowControl/>
        <w:ind w:firstLine="567"/>
        <w:jc w:val="both"/>
        <w:rPr>
          <w:rFonts w:ascii="Times New Roman" w:hAnsi="Times New Roman"/>
          <w:sz w:val="24"/>
          <w:szCs w:val="24"/>
        </w:rPr>
      </w:pPr>
      <w:r>
        <w:rPr>
          <w:rFonts w:ascii="Times New Roman" w:hAnsi="Times New Roman"/>
          <w:sz w:val="24"/>
          <w:szCs w:val="24"/>
        </w:rPr>
        <w:t>Приложение № 1: информация по предмету договора.</w:t>
        <w:tab/>
      </w:r>
    </w:p>
    <w:p>
      <w:pPr>
        <w:pStyle w:val="ConsPlusNormal1"/>
        <w:widowControl/>
        <w:jc w:val="both"/>
        <w:rPr/>
      </w:pPr>
      <w:r>
        <w:rPr/>
      </w:r>
    </w:p>
    <w:tbl>
      <w:tblPr>
        <w:tblW w:w="10246"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4678"/>
        <w:gridCol w:w="1112"/>
        <w:gridCol w:w="4456"/>
      </w:tblGrid>
      <w:tr>
        <w:trPr/>
        <w:tc>
          <w:tcPr>
            <w:tcW w:w="4678" w:type="dxa"/>
            <w:tcBorders/>
          </w:tcPr>
          <w:p>
            <w:pPr>
              <w:pStyle w:val="ConsPlusNormal1"/>
              <w:widowControl/>
              <w:jc w:val="center"/>
              <w:rPr/>
            </w:pPr>
            <w:r>
              <w:rPr/>
              <w:t>Региональный оператор</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Потребитель</w:t>
            </w:r>
          </w:p>
          <w:p>
            <w:pPr>
              <w:pStyle w:val="ConsPlusNormal1"/>
              <w:widowControl/>
              <w:jc w:val="center"/>
              <w:rPr/>
            </w:pPr>
            <w:r>
              <w:rPr/>
              <w:t>(уполномоченная организация)</w:t>
            </w:r>
          </w:p>
        </w:tc>
      </w:tr>
      <w:tr>
        <w:trPr/>
        <w:tc>
          <w:tcPr>
            <w:tcW w:w="4678" w:type="dxa"/>
            <w:tcBorders>
              <w:bottom w:val="single" w:sz="4" w:space="0" w:color="000000"/>
            </w:tcBorders>
          </w:tcPr>
          <w:p>
            <w:pPr>
              <w:pStyle w:val="ConsPlusNormal1"/>
              <w:widowControl/>
              <w:jc w:val="center"/>
              <w:rPr/>
            </w:pPr>
            <w:r>
              <w:rPr/>
            </w:r>
          </w:p>
        </w:tc>
        <w:tc>
          <w:tcPr>
            <w:tcW w:w="1112" w:type="dxa"/>
            <w:tcBorders/>
          </w:tcPr>
          <w:p>
            <w:pPr>
              <w:pStyle w:val="ConsPlusNormal1"/>
              <w:widowControl/>
              <w:jc w:val="center"/>
              <w:rPr/>
            </w:pPr>
            <w:r>
              <w:rPr/>
            </w:r>
          </w:p>
        </w:tc>
        <w:tc>
          <w:tcPr>
            <w:tcW w:w="4456" w:type="dxa"/>
            <w:tcBorders>
              <w:bottom w:val="single" w:sz="4" w:space="0" w:color="000000"/>
            </w:tcBorders>
          </w:tcPr>
          <w:p>
            <w:pPr>
              <w:pStyle w:val="ConsPlusNormal1"/>
              <w:widowControl/>
              <w:jc w:val="center"/>
              <w:rPr/>
            </w:pPr>
            <w:r>
              <w:rPr/>
            </w:r>
          </w:p>
        </w:tc>
      </w:tr>
      <w:tr>
        <w:trPr/>
        <w:tc>
          <w:tcPr>
            <w:tcW w:w="4678" w:type="dxa"/>
            <w:tcBorders>
              <w:top w:val="single" w:sz="4" w:space="0" w:color="000000"/>
            </w:tcBorders>
          </w:tcPr>
          <w:p>
            <w:pPr>
              <w:pStyle w:val="ConsPlusNormal1"/>
              <w:widowControl/>
              <w:jc w:val="center"/>
              <w:rPr>
                <w:sz w:val="22"/>
              </w:rPr>
            </w:pPr>
            <w:r>
              <w:rPr>
                <w:sz w:val="22"/>
              </w:rPr>
              <w:t>(подпись)</w:t>
            </w:r>
          </w:p>
        </w:tc>
        <w:tc>
          <w:tcPr>
            <w:tcW w:w="1112" w:type="dxa"/>
            <w:tcBorders/>
          </w:tcPr>
          <w:p>
            <w:pPr>
              <w:pStyle w:val="ConsPlusNormal1"/>
              <w:widowControl/>
              <w:jc w:val="center"/>
              <w:rPr/>
            </w:pPr>
            <w:r>
              <w:rPr/>
            </w:r>
          </w:p>
        </w:tc>
        <w:tc>
          <w:tcPr>
            <w:tcW w:w="4456" w:type="dxa"/>
            <w:tcBorders>
              <w:top w:val="single" w:sz="4" w:space="0" w:color="000000"/>
            </w:tcBorders>
          </w:tcPr>
          <w:p>
            <w:pPr>
              <w:pStyle w:val="ConsPlusNormal1"/>
              <w:widowControl/>
              <w:jc w:val="center"/>
              <w:rPr>
                <w:sz w:val="22"/>
              </w:rPr>
            </w:pPr>
            <w:r>
              <w:rPr>
                <w:sz w:val="22"/>
              </w:rPr>
              <w:t>(подпись)</w:t>
            </w:r>
          </w:p>
        </w:tc>
      </w:tr>
      <w:tr>
        <w:trPr/>
        <w:tc>
          <w:tcPr>
            <w:tcW w:w="4678" w:type="dxa"/>
            <w:tcBorders/>
          </w:tcPr>
          <w:p>
            <w:pPr>
              <w:pStyle w:val="ConsPlusNormal1"/>
              <w:widowControl/>
              <w:jc w:val="center"/>
              <w:rPr/>
            </w:pPr>
            <w:r>
              <w:rPr/>
              <w:t>"__" _____________ 20__ г.</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"__" _____________ 20__ г.</w:t>
            </w:r>
          </w:p>
        </w:tc>
      </w:tr>
    </w:tbl>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t>13. Адреса и реквизиты Сторон:</w:t>
      </w:r>
    </w:p>
    <w:p>
      <w:pPr>
        <w:pStyle w:val="Normal"/>
        <w:ind w:firstLine="567"/>
        <w:jc w:val="center"/>
        <w:rPr>
          <w:sz w:val="21"/>
        </w:rPr>
      </w:pPr>
      <w:r>
        <w:rPr>
          <w:sz w:val="21"/>
        </w:rPr>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ind w:right="-285"/>
              <w:rPr>
                <w:b/>
                <w:sz w:val="21"/>
              </w:rPr>
            </w:pPr>
            <w:r>
              <w:rPr>
                <w:b/>
                <w:sz w:val="21"/>
              </w:rPr>
              <w:t>АО «Крайжилкомресурс»</w:t>
            </w:r>
          </w:p>
          <w:p>
            <w:pPr>
              <w:pStyle w:val="Normal"/>
              <w:rPr>
                <w:sz w:val="21"/>
              </w:rPr>
            </w:pPr>
            <w:r>
              <w:rPr>
                <w:sz w:val="21"/>
              </w:rPr>
              <w:t>Юридический адрес: 350020, Краснодарский край, Краснодар г, Рашпилевская ул,</w:t>
            </w:r>
          </w:p>
          <w:p>
            <w:pPr>
              <w:pStyle w:val="Normal"/>
              <w:rPr>
                <w:sz w:val="21"/>
              </w:rPr>
            </w:pPr>
            <w:r>
              <w:rPr>
                <w:sz w:val="21"/>
              </w:rPr>
              <w:t>дом № 181, помещение 40/2</w:t>
            </w:r>
          </w:p>
          <w:p>
            <w:pPr>
              <w:pStyle w:val="Normal"/>
              <w:rPr>
                <w:sz w:val="21"/>
              </w:rPr>
            </w:pPr>
            <w:r>
              <w:rPr>
                <w:sz w:val="21"/>
              </w:rPr>
              <w:t>тел. (факс) 8 (861) 259–00–03</w:t>
            </w:r>
          </w:p>
          <w:p>
            <w:pPr>
              <w:pStyle w:val="Normal"/>
              <w:rPr>
                <w:sz w:val="21"/>
              </w:rPr>
            </w:pPr>
            <w:r>
              <w:rPr>
                <w:sz w:val="21"/>
              </w:rPr>
              <w:t>ИНН 2308124997, ОГРН 1062308034920</w:t>
            </w:r>
          </w:p>
          <w:p>
            <w:pPr>
              <w:pStyle w:val="Normal"/>
              <w:rPr>
                <w:sz w:val="21"/>
              </w:rPr>
            </w:pPr>
            <w:r>
              <w:rPr>
                <w:sz w:val="21"/>
              </w:rPr>
              <w:t xml:space="preserve">официальный сайт: </w:t>
            </w:r>
            <w:hyperlink r:id="rId2">
              <w:r>
                <w:rPr>
                  <w:rStyle w:val="Style"/>
                  <w:sz w:val="21"/>
                </w:rPr>
                <w:t>www.kgkr.ru</w:t>
              </w:r>
            </w:hyperlink>
          </w:p>
          <w:p>
            <w:pPr>
              <w:pStyle w:val="Normal"/>
              <w:rPr>
                <w:sz w:val="21"/>
              </w:rPr>
            </w:pPr>
            <w:r>
              <w:rPr>
                <w:sz w:val="21"/>
              </w:rPr>
              <w:t xml:space="preserve">е–mail: </w:t>
            </w:r>
            <w:hyperlink r:id="rId3">
              <w:r>
                <w:rPr>
                  <w:rStyle w:val="Hyperlink"/>
                  <w:color w:val="000000"/>
                  <w:sz w:val="21"/>
                  <w:u w:val="none"/>
                </w:rPr>
                <w:t>mail@kgkr.ru</w:t>
              </w:r>
            </w:hyperlink>
          </w:p>
          <w:p>
            <w:pPr>
              <w:pStyle w:val="Normal"/>
              <w:rPr>
                <w:sz w:val="21"/>
              </w:rPr>
            </w:pPr>
            <w:r>
              <w:rPr>
                <w:sz w:val="21"/>
              </w:rPr>
            </w:r>
          </w:p>
          <w:p>
            <w:pPr>
              <w:pStyle w:val="Normal"/>
              <w:rPr>
                <w:sz w:val="21"/>
              </w:rPr>
            </w:pPr>
            <w:r>
              <w:rPr>
                <w:sz w:val="21"/>
              </w:rPr>
              <w:t>Филиал АО «Крайжилкомресурс»</w:t>
            </w:r>
          </w:p>
          <w:p>
            <w:pPr>
              <w:pStyle w:val="Normal"/>
              <w:rPr>
                <w:sz w:val="21"/>
              </w:rPr>
            </w:pPr>
            <w:r>
              <w:rPr>
                <w:sz w:val="21"/>
              </w:rPr>
              <w:t>«______________________________________»</w:t>
            </w:r>
          </w:p>
          <w:p>
            <w:pPr>
              <w:pStyle w:val="Normal"/>
              <w:rPr>
                <w:sz w:val="21"/>
              </w:rPr>
            </w:pPr>
            <w:r>
              <w:rPr>
                <w:sz w:val="21"/>
              </w:rPr>
              <w:t>Адрес местонахождения: __________________</w:t>
            </w:r>
          </w:p>
          <w:p>
            <w:pPr>
              <w:pStyle w:val="Normal"/>
              <w:rPr>
                <w:sz w:val="21"/>
              </w:rPr>
            </w:pPr>
            <w:r>
              <w:rPr>
                <w:sz w:val="21"/>
              </w:rPr>
              <w:t>ИНН 2308124997, КПП ___________________</w:t>
            </w:r>
          </w:p>
          <w:p>
            <w:pPr>
              <w:pStyle w:val="Normal"/>
              <w:rPr>
                <w:sz w:val="21"/>
              </w:rPr>
            </w:pPr>
            <w:r>
              <w:rPr>
                <w:sz w:val="21"/>
              </w:rPr>
              <w:t>Банковские реквизиты ____________________</w:t>
            </w:r>
          </w:p>
          <w:p>
            <w:pPr>
              <w:pStyle w:val="Normal"/>
              <w:rPr>
                <w:sz w:val="21"/>
              </w:rPr>
            </w:pPr>
            <w:r>
              <w:rPr>
                <w:sz w:val="21"/>
              </w:rPr>
              <w:t>________________________________________</w:t>
            </w:r>
          </w:p>
          <w:p>
            <w:pPr>
              <w:pStyle w:val="Normal"/>
              <w:rPr>
                <w:sz w:val="21"/>
              </w:rPr>
            </w:pPr>
            <w:r>
              <w:rPr>
                <w:sz w:val="21"/>
              </w:rPr>
              <w:t>________________________________________</w:t>
            </w:r>
          </w:p>
          <w:p>
            <w:pPr>
              <w:pStyle w:val="Normal"/>
              <w:rPr>
                <w:sz w:val="21"/>
              </w:rPr>
            </w:pPr>
            <w:r>
              <w:rPr>
                <w:sz w:val="21"/>
              </w:rPr>
              <w:t>тел.: ____________________________________</w:t>
            </w:r>
          </w:p>
          <w:p>
            <w:pPr>
              <w:pStyle w:val="Normal"/>
              <w:rPr>
                <w:sz w:val="21"/>
              </w:rPr>
            </w:pPr>
            <w:r>
              <w:rPr>
                <w:sz w:val="21"/>
              </w:rPr>
              <w:t xml:space="preserve">е–mail: </w:t>
              <w:tab/>
              <w:t>_________________________________</w:t>
            </w:r>
          </w:p>
          <w:p>
            <w:pPr>
              <w:pStyle w:val="Normal"/>
              <w:rPr>
                <w:sz w:val="21"/>
              </w:rPr>
            </w:pPr>
            <w:r>
              <w:rPr>
                <w:sz w:val="21"/>
              </w:rPr>
            </w:r>
          </w:p>
          <w:p>
            <w:pPr>
              <w:pStyle w:val="Normal"/>
              <w:rPr>
                <w:sz w:val="21"/>
              </w:rPr>
            </w:pPr>
            <w:r>
              <w:rPr>
                <w:sz w:val="21"/>
              </w:rPr>
            </w:r>
          </w:p>
          <w:p>
            <w:pPr>
              <w:pStyle w:val="Normal"/>
              <w:rPr>
                <w:sz w:val="21"/>
              </w:rPr>
            </w:pPr>
            <w:r>
              <w:rPr>
                <w:sz w:val="21"/>
              </w:rPr>
              <w:t>_______________________________</w:t>
            </w:r>
          </w:p>
          <w:p>
            <w:pPr>
              <w:pStyle w:val="Normal"/>
              <w:rPr>
                <w:sz w:val="21"/>
              </w:rPr>
            </w:pPr>
            <w:r>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115"/>
              <w:rPr>
                <w:sz w:val="21"/>
                <w:u w:val="single"/>
              </w:rPr>
            </w:pPr>
            <w:r>
              <w:rPr>
                <w:sz w:val="21"/>
                <w:u w:val="single"/>
              </w:rPr>
              <w:t xml:space="preserve">    </w:t>
            </w:r>
            <w:r>
              <w:rPr>
                <w:sz w:val="21"/>
                <w:u w:val="single"/>
              </w:rPr>
              <w:t>_______________________________________</w:t>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rPr>
                      <w:sz w:val="21"/>
                    </w:rPr>
                  </w:pPr>
                  <w:r>
                    <w:rPr>
                      <w:sz w:val="21"/>
                    </w:rPr>
                    <w:t>Юридический адрес: _______________________</w:t>
                  </w:r>
                </w:p>
                <w:p>
                  <w:pPr>
                    <w:pStyle w:val="Normal"/>
                    <w:ind w:right="-285"/>
                    <w:jc w:val="both"/>
                    <w:rPr>
                      <w:sz w:val="21"/>
                    </w:rPr>
                  </w:pPr>
                  <w:r>
                    <w:rPr>
                      <w:sz w:val="21"/>
                    </w:rPr>
                    <w:t>ИНН ____________, КПП ___________________</w:t>
                  </w:r>
                </w:p>
                <w:p>
                  <w:pPr>
                    <w:pStyle w:val="Normal"/>
                    <w:ind w:right="-285"/>
                    <w:jc w:val="both"/>
                    <w:rPr>
                      <w:sz w:val="21"/>
                    </w:rPr>
                  </w:pPr>
                  <w:r>
                    <w:rPr>
                      <w:sz w:val="21"/>
                    </w:rPr>
                    <w:t>ОГРН ____________________________________</w:t>
                  </w:r>
                </w:p>
                <w:p>
                  <w:pPr>
                    <w:pStyle w:val="Normal"/>
                    <w:ind w:right="-285"/>
                    <w:jc w:val="both"/>
                    <w:rPr>
                      <w:sz w:val="21"/>
                    </w:rPr>
                  </w:pPr>
                  <w:r>
                    <w:rPr>
                      <w:sz w:val="21"/>
                    </w:rPr>
                    <w:t>Банковские реквизиты 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тел.: _____________________________________</w:t>
                  </w:r>
                </w:p>
                <w:p>
                  <w:pPr>
                    <w:pStyle w:val="Normal"/>
                    <w:ind w:right="-285"/>
                    <w:jc w:val="both"/>
                    <w:rPr>
                      <w:sz w:val="21"/>
                    </w:rPr>
                  </w:pPr>
                  <w:r>
                    <w:rPr>
                      <w:sz w:val="21"/>
                    </w:rPr>
                    <w:t xml:space="preserve">е–mail: </w:t>
                    <w:tab/>
                    <w:t>___________________________________</w:t>
                  </w:r>
                </w:p>
                <w:p>
                  <w:pPr>
                    <w:pStyle w:val="Normal"/>
                    <w:ind w:right="-285"/>
                    <w:jc w:val="both"/>
                    <w:rPr>
                      <w:sz w:val="21"/>
                    </w:rPr>
                  </w:pPr>
                  <w:r>
                    <w:rPr>
                      <w:sz w:val="21"/>
                    </w:rPr>
                  </w:r>
                </w:p>
                <w:p>
                  <w:pPr>
                    <w:pStyle w:val="Normal"/>
                    <w:ind w:right="-285"/>
                    <w:jc w:val="both"/>
                    <w:rPr>
                      <w:sz w:val="21"/>
                    </w:rPr>
                  </w:pPr>
                  <w:r>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rPr>
                      <w:sz w:val="21"/>
                    </w:rPr>
                  </w:pPr>
                  <w:r>
                    <w:rPr>
                      <w:sz w:val="21"/>
                    </w:rPr>
                    <w:t>__________________________</w:t>
                  </w:r>
                </w:p>
                <w:p>
                  <w:pPr>
                    <w:pStyle w:val="Normal"/>
                    <w:ind w:right="-285"/>
                    <w:rPr>
                      <w:sz w:val="21"/>
                    </w:rPr>
                  </w:pPr>
                  <w:r>
                    <w:rPr>
                      <w:sz w:val="21"/>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7"/>
                    <w:rPr>
                      <w:sz w:val="21"/>
                    </w:rPr>
                  </w:pPr>
                  <w:r>
                    <w:rPr>
                      <w:sz w:val="21"/>
                      <w:u w:val="single"/>
                    </w:rPr>
                    <w:tab/>
                    <w:t>/______________/</w:t>
                  </w:r>
                </w:p>
              </w:tc>
            </w:tr>
          </w:tbl>
          <w:p>
            <w:pPr>
              <w:pStyle w:val="Normal"/>
              <w:ind w:firstLine="567"/>
              <w:jc w:val="both"/>
              <w:rPr>
                <w:sz w:val="21"/>
              </w:rPr>
            </w:pPr>
            <w:r>
              <w:rPr>
                <w:sz w:val="21"/>
              </w:rPr>
            </w:r>
          </w:p>
          <w:p>
            <w:pPr>
              <w:pStyle w:val="Normal"/>
              <w:tabs>
                <w:tab w:val="clear" w:pos="709"/>
                <w:tab w:val="left" w:pos="2865" w:leader="none"/>
                <w:tab w:val="left" w:pos="4115" w:leader="none"/>
              </w:tabs>
              <w:ind w:left="-7"/>
              <w:rPr>
                <w:sz w:val="21"/>
              </w:rPr>
            </w:pPr>
            <w:r>
              <w:rPr>
                <w:sz w:val="21"/>
              </w:rPr>
            </w:r>
          </w:p>
        </w:tc>
      </w:tr>
    </w:tbl>
    <w:p>
      <w:pPr>
        <w:pStyle w:val="Normal"/>
        <w:rPr>
          <w:sz w:val="22"/>
        </w:rPr>
      </w:pPr>
      <w:r>
        <w:rPr>
          <w:sz w:val="22"/>
        </w:rPr>
      </w:r>
      <w:r>
        <w:br w:type="page"/>
      </w:r>
    </w:p>
    <w:p>
      <w:pPr>
        <w:pStyle w:val="ConsPlusNormal1"/>
        <w:widowControl/>
        <w:numPr>
          <w:ilvl w:val="0"/>
          <w:numId w:val="0"/>
        </w:numPr>
        <w:spacing w:before="0" w:after="0"/>
        <w:ind w:hanging="0" w:left="0"/>
        <w:jc w:val="right"/>
        <w:outlineLvl w:val="1"/>
        <w:rPr>
          <w:sz w:val="22"/>
        </w:rPr>
      </w:pPr>
      <w:r>
        <w:rPr>
          <w:sz w:val="22"/>
        </w:rPr>
        <w:t>Приложение</w:t>
      </w:r>
    </w:p>
    <w:p>
      <w:pPr>
        <w:pStyle w:val="ConsPlusNormal1"/>
        <w:widowControl/>
        <w:jc w:val="right"/>
        <w:rPr>
          <w:sz w:val="22"/>
        </w:rPr>
      </w:pPr>
      <w:r>
        <w:rPr>
          <w:sz w:val="22"/>
        </w:rPr>
        <w:t>к типовому договору на оказание</w:t>
      </w:r>
    </w:p>
    <w:p>
      <w:pPr>
        <w:pStyle w:val="ConsPlusNormal1"/>
        <w:widowControl/>
        <w:jc w:val="right"/>
        <w:rPr>
          <w:sz w:val="22"/>
        </w:rPr>
      </w:pPr>
      <w:r>
        <w:rPr>
          <w:sz w:val="22"/>
        </w:rPr>
        <w:t>услуг по обращению с твердыми</w:t>
      </w:r>
    </w:p>
    <w:p>
      <w:pPr>
        <w:pStyle w:val="ConsPlusNormal1"/>
        <w:widowControl/>
        <w:jc w:val="right"/>
        <w:rPr>
          <w:sz w:val="22"/>
        </w:rPr>
      </w:pPr>
      <w:r>
        <w:rPr>
          <w:sz w:val="22"/>
        </w:rPr>
        <w:t>коммунальными отходами</w:t>
      </w:r>
    </w:p>
    <w:p>
      <w:pPr>
        <w:pStyle w:val="ConsPlusNormal1"/>
        <w:widowControl/>
        <w:jc w:val="both"/>
        <w:rPr/>
      </w:pPr>
      <w:r>
        <w:rPr/>
      </w:r>
    </w:p>
    <w:p>
      <w:pPr>
        <w:pStyle w:val="ConsPlusNormal1"/>
        <w:widowControl/>
        <w:jc w:val="center"/>
        <w:rPr/>
      </w:pPr>
      <w:bookmarkStart w:id="0" w:name="P182"/>
      <w:bookmarkEnd w:id="0"/>
      <w:r>
        <w:rPr/>
        <w:t>ИНФОРМАЦИЯ</w:t>
      </w:r>
    </w:p>
    <w:p>
      <w:pPr>
        <w:pStyle w:val="ConsPlusNormal1"/>
        <w:widowControl/>
        <w:jc w:val="center"/>
        <w:rPr/>
      </w:pPr>
      <w:r>
        <w:rPr/>
        <w:t>по предмету договора на оказание услуг по обращению</w:t>
      </w:r>
    </w:p>
    <w:p>
      <w:pPr>
        <w:pStyle w:val="ConsPlusNormal1"/>
        <w:widowControl/>
        <w:jc w:val="center"/>
        <w:rPr/>
      </w:pPr>
      <w:r>
        <w:rPr/>
        <w:t>с твердыми коммунальными отходами</w:t>
      </w:r>
    </w:p>
    <w:p>
      <w:pPr>
        <w:pStyle w:val="ConsPlusNormal1"/>
        <w:widowControl/>
        <w:jc w:val="both"/>
        <w:rPr/>
      </w:pPr>
      <w:r>
        <w:rPr/>
      </w:r>
    </w:p>
    <w:tbl>
      <w:tblPr>
        <w:tblW w:w="10208" w:type="dxa"/>
        <w:jc w:val="left"/>
        <w:tblInd w:w="-727" w:type="dxa"/>
        <w:tblLayout w:type="fixed"/>
        <w:tblCellMar>
          <w:top w:w="102" w:type="dxa"/>
          <w:left w:w="62" w:type="dxa"/>
          <w:bottom w:w="102" w:type="dxa"/>
          <w:right w:w="62" w:type="dxa"/>
        </w:tblCellMar>
        <w:tblLook w:val="04a0" w:noHBand="0" w:noVBand="1" w:firstColumn="1" w:lastRow="0" w:lastColumn="0" w:firstRow="1"/>
      </w:tblPr>
      <w:tblGrid>
        <w:gridCol w:w="1204"/>
        <w:gridCol w:w="1198"/>
        <w:gridCol w:w="1205"/>
        <w:gridCol w:w="1138"/>
        <w:gridCol w:w="1289"/>
        <w:gridCol w:w="1396"/>
        <w:gridCol w:w="1230"/>
        <w:gridCol w:w="1546"/>
      </w:tblGrid>
      <w:tr>
        <w:trPr>
          <w:trHeight w:val="5433" w:hRule="atLeast"/>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Наименование источника образования твердых коммунальных отходов</w:t>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Местонахождение источника образования твердых коммунальных отходов</w:t>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Период действия объекта</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Количество принимаемых твердых коммунальных отходов (куб. метров или тонн)</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твердых коммунальных отходов</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крупногабаритных отходов (при наличии)</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График вывоза твердых коммунальных отходов</w:t>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1</w:t>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2</w:t>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3</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4</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5</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6</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7</w:t>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8</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bl>
    <w:p>
      <w:pPr>
        <w:pStyle w:val="ConsPlusNormal1"/>
        <w:rPr/>
      </w:pPr>
      <w:r>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Courier New">
    <w:charset w:val="01"/>
    <w:family w:val="auto"/>
    <w:pitch w:val="default"/>
  </w:font>
  <w:font w:name="XO Thames">
    <w:charset w:val="01"/>
    <w:family w:val="roman"/>
    <w:pitch w:val="default"/>
  </w:font>
  <w:font w:name="PT Astra Serif">
    <w:charset w:val="01"/>
    <w:family w:val="roman"/>
    <w:pitch w:val="default"/>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Heading1">
    <w:name w:val="heading 1"/>
    <w:basedOn w:val="Normal"/>
    <w:next w:val="Normal"/>
    <w:link w:val="11"/>
    <w:uiPriority w:val="9"/>
    <w:qFormat/>
    <w:pPr>
      <w:keepNext w:val="true"/>
      <w:keepLines/>
      <w:spacing w:before="480" w:after="200"/>
      <w:outlineLvl w:val="0"/>
    </w:pPr>
    <w:rPr>
      <w:rFonts w:ascii="Arial" w:hAnsi="Arial"/>
      <w:sz w:val="40"/>
    </w:rPr>
  </w:style>
  <w:style w:type="paragraph" w:styleId="Heading2">
    <w:name w:val="heading 2"/>
    <w:basedOn w:val="Normal"/>
    <w:next w:val="Normal"/>
    <w:link w:val="22"/>
    <w:uiPriority w:val="9"/>
    <w:qFormat/>
    <w:pPr>
      <w:keepNext w:val="true"/>
      <w:keepLines/>
      <w:spacing w:before="360" w:after="200"/>
      <w:outlineLvl w:val="1"/>
    </w:pPr>
    <w:rPr>
      <w:rFonts w:ascii="Arial" w:hAnsi="Arial"/>
      <w:sz w:val="34"/>
    </w:rPr>
  </w:style>
  <w:style w:type="paragraph" w:styleId="Heading3">
    <w:name w:val="heading 3"/>
    <w:basedOn w:val="Normal"/>
    <w:next w:val="Normal"/>
    <w:link w:val="3"/>
    <w:uiPriority w:val="9"/>
    <w:qFormat/>
    <w:pPr>
      <w:keepNext w:val="true"/>
      <w:keepLines/>
      <w:spacing w:before="320" w:after="200"/>
      <w:outlineLvl w:val="2"/>
    </w:pPr>
    <w:rPr>
      <w:rFonts w:ascii="Arial" w:hAnsi="Arial"/>
      <w:sz w:val="30"/>
    </w:rPr>
  </w:style>
  <w:style w:type="paragraph" w:styleId="Heading4">
    <w:name w:val="heading 4"/>
    <w:basedOn w:val="Normal"/>
    <w:next w:val="Normal"/>
    <w:link w:val="41"/>
    <w:uiPriority w:val="9"/>
    <w:qFormat/>
    <w:pPr>
      <w:keepNext w:val="true"/>
      <w:keepLines/>
      <w:spacing w:before="320" w:after="200"/>
      <w:outlineLvl w:val="3"/>
    </w:pPr>
    <w:rPr>
      <w:rFonts w:ascii="Arial" w:hAnsi="Arial"/>
      <w:b/>
      <w:sz w:val="26"/>
    </w:rPr>
  </w:style>
  <w:style w:type="paragraph" w:styleId="Heading5">
    <w:name w:val="heading 5"/>
    <w:basedOn w:val="Normal"/>
    <w:next w:val="Normal"/>
    <w:link w:val="5"/>
    <w:uiPriority w:val="9"/>
    <w:qFormat/>
    <w:pPr>
      <w:keepNext w:val="true"/>
      <w:keepLines/>
      <w:spacing w:before="320" w:after="200"/>
      <w:outlineLvl w:val="4"/>
    </w:pPr>
    <w:rPr>
      <w:rFonts w:ascii="Arial" w:hAnsi="Arial"/>
      <w:b/>
      <w:sz w:val="24"/>
    </w:rPr>
  </w:style>
  <w:style w:type="paragraph" w:styleId="Heading6">
    <w:name w:val="heading 6"/>
    <w:basedOn w:val="Normal"/>
    <w:next w:val="Normal"/>
    <w:link w:val="61"/>
    <w:uiPriority w:val="9"/>
    <w:qFormat/>
    <w:pPr>
      <w:keepNext w:val="true"/>
      <w:keepLines/>
      <w:spacing w:before="320" w:after="200"/>
      <w:outlineLvl w:val="5"/>
    </w:pPr>
    <w:rPr>
      <w:rFonts w:ascii="Arial" w:hAnsi="Arial"/>
      <w:b/>
      <w:sz w:val="22"/>
    </w:rPr>
  </w:style>
  <w:style w:type="paragraph" w:styleId="Heading7">
    <w:name w:val="heading 7"/>
    <w:basedOn w:val="Normal"/>
    <w:next w:val="Normal"/>
    <w:link w:val="7"/>
    <w:uiPriority w:val="9"/>
    <w:qFormat/>
    <w:pPr>
      <w:keepNext w:val="true"/>
      <w:keepLines/>
      <w:spacing w:before="320" w:after="200"/>
      <w:outlineLvl w:val="6"/>
    </w:pPr>
    <w:rPr>
      <w:rFonts w:ascii="Arial" w:hAnsi="Arial"/>
      <w:b/>
      <w:i/>
      <w:sz w:val="22"/>
    </w:rPr>
  </w:style>
  <w:style w:type="paragraph" w:styleId="Heading8">
    <w:name w:val="heading 8"/>
    <w:basedOn w:val="Normal"/>
    <w:next w:val="Normal"/>
    <w:link w:val="8"/>
    <w:uiPriority w:val="9"/>
    <w:qFormat/>
    <w:pPr>
      <w:keepNext w:val="true"/>
      <w:keepLines/>
      <w:spacing w:before="320" w:after="200"/>
      <w:outlineLvl w:val="7"/>
    </w:pPr>
    <w:rPr>
      <w:rFonts w:ascii="Arial" w:hAnsi="Arial"/>
      <w:i/>
      <w:sz w:val="22"/>
    </w:rPr>
  </w:style>
  <w:style w:type="paragraph" w:styleId="Heading9">
    <w:name w:val="heading 9"/>
    <w:basedOn w:val="Normal"/>
    <w:next w:val="Normal"/>
    <w:link w:val="9"/>
    <w:uiPriority w:val="9"/>
    <w:qFormat/>
    <w:pPr>
      <w:keepNext w:val="true"/>
      <w:keepLines/>
      <w:spacing w:before="320" w:after="200"/>
      <w:outlineLvl w:val="8"/>
    </w:pPr>
    <w:rPr>
      <w:rFonts w:ascii="Arial" w:hAnsi="Arial"/>
      <w:i/>
      <w:sz w:val="21"/>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basedOn w:val="1"/>
    <w:qFormat/>
    <w:rPr/>
  </w:style>
  <w:style w:type="character" w:styleId="Style5" w:customStyle="1">
    <w:name w:val="Выделенная цитата Знак"/>
    <w:basedOn w:val="1"/>
    <w:link w:val="IntenseQuote"/>
    <w:qFormat/>
    <w:rPr>
      <w:i/>
    </w:rPr>
  </w:style>
  <w:style w:type="character" w:styleId="Style6" w:customStyle="1">
    <w:name w:val="Название объекта Знак"/>
    <w:basedOn w:val="1"/>
    <w:qFormat/>
    <w:rPr>
      <w:b/>
      <w:color w:themeColor="accent1" w:val="4F81BD"/>
      <w:sz w:val="18"/>
    </w:rPr>
  </w:style>
  <w:style w:type="character" w:styleId="4" w:customStyle="1">
    <w:name w:val="Оглавление 4 Знак"/>
    <w:basedOn w:val="1"/>
    <w:qFormat/>
    <w:rPr/>
  </w:style>
  <w:style w:type="character" w:styleId="7" w:customStyle="1">
    <w:name w:val="Заголовок 7 Знак"/>
    <w:basedOn w:val="1"/>
    <w:qFormat/>
    <w:rPr>
      <w:rFonts w:ascii="Arial" w:hAnsi="Arial"/>
      <w:b/>
      <w:i/>
      <w:sz w:val="22"/>
    </w:rPr>
  </w:style>
  <w:style w:type="character" w:styleId="6" w:customStyle="1">
    <w:name w:val="Оглавление 6 Знак"/>
    <w:basedOn w:val="1"/>
    <w:qFormat/>
    <w:rPr/>
  </w:style>
  <w:style w:type="character" w:styleId="71" w:customStyle="1">
    <w:name w:val="Оглавление 7 Знак"/>
    <w:basedOn w:val="1"/>
    <w:qFormat/>
    <w:rPr/>
  </w:style>
  <w:style w:type="character" w:styleId="21" w:customStyle="1">
    <w:name w:val="Цитата 2 Знак"/>
    <w:basedOn w:val="1"/>
    <w:link w:val="Quote"/>
    <w:qFormat/>
    <w:rPr>
      <w:i/>
    </w:rPr>
  </w:style>
  <w:style w:type="character" w:styleId="Endnote" w:customStyle="1">
    <w:name w:val="Endnote"/>
    <w:basedOn w:val="1"/>
    <w:link w:val="Endnote1"/>
    <w:qFormat/>
    <w:rPr/>
  </w:style>
  <w:style w:type="character" w:styleId="3" w:customStyle="1">
    <w:name w:val="Заголовок 3 Знак"/>
    <w:basedOn w:val="1"/>
    <w:qFormat/>
    <w:rPr>
      <w:rFonts w:ascii="Arial" w:hAnsi="Arial"/>
      <w:sz w:val="30"/>
    </w:rPr>
  </w:style>
  <w:style w:type="character" w:styleId="ConsPlusJurTerm" w:customStyle="1">
    <w:name w:val="ConsPlusJurTerm"/>
    <w:link w:val="ConsPlusJurTerm1"/>
    <w:qFormat/>
    <w:rPr>
      <w:rFonts w:ascii="Tahoma" w:hAnsi="Tahoma"/>
      <w:sz w:val="26"/>
    </w:rPr>
  </w:style>
  <w:style w:type="character" w:styleId="Style7" w:customStyle="1">
    <w:name w:val="Заголовок оглавления Знак"/>
    <w:qFormat/>
    <w:rPr/>
  </w:style>
  <w:style w:type="character" w:styleId="9" w:customStyle="1">
    <w:name w:val="Заголовок 9 Знак"/>
    <w:basedOn w:val="1"/>
    <w:qFormat/>
    <w:rPr>
      <w:rFonts w:ascii="Arial" w:hAnsi="Arial"/>
      <w:i/>
      <w:sz w:val="21"/>
    </w:rPr>
  </w:style>
  <w:style w:type="character" w:styleId="ConsPlusTextList" w:customStyle="1">
    <w:name w:val="ConsPlusTextList"/>
    <w:link w:val="ConsPlusTextList1"/>
    <w:qFormat/>
    <w:rPr>
      <w:sz w:val="24"/>
    </w:rPr>
  </w:style>
  <w:style w:type="character" w:styleId="31" w:customStyle="1">
    <w:name w:val="Оглавление 3 Знак"/>
    <w:basedOn w:val="1"/>
    <w:qFormat/>
    <w:rPr/>
  </w:style>
  <w:style w:type="character" w:styleId="Style8" w:customStyle="1">
    <w:name w:val="Нижний колонтитул Знак"/>
    <w:basedOn w:val="1"/>
    <w:qFormat/>
    <w:rPr/>
  </w:style>
  <w:style w:type="character" w:styleId="ConsPlusDocList" w:customStyle="1">
    <w:name w:val="ConsPlusDocList"/>
    <w:link w:val="ConsPlusDocList1"/>
    <w:qFormat/>
    <w:rPr>
      <w:rFonts w:ascii="Tahoma" w:hAnsi="Tahoma"/>
      <w:sz w:val="18"/>
    </w:rPr>
  </w:style>
  <w:style w:type="character" w:styleId="Style9">
    <w:name w:val="Символ сноски"/>
    <w:link w:val="13"/>
    <w:qFormat/>
    <w:rPr>
      <w:vertAlign w:val="superscript"/>
    </w:rPr>
  </w:style>
  <w:style w:type="character" w:styleId="FootnoteReference">
    <w:name w:val="footnote reference"/>
    <w:rPr>
      <w:vertAlign w:val="superscript"/>
    </w:rPr>
  </w:style>
  <w:style w:type="character" w:styleId="ConsPlusNonformat" w:customStyle="1">
    <w:name w:val="ConsPlusNonformat"/>
    <w:link w:val="ConsPlusNonformat1"/>
    <w:qFormat/>
    <w:rPr>
      <w:rFonts w:ascii="Courier New" w:hAnsi="Courier New"/>
    </w:rPr>
  </w:style>
  <w:style w:type="character" w:styleId="5" w:customStyle="1">
    <w:name w:val="Заголовок 5 Знак"/>
    <w:basedOn w:val="1"/>
    <w:qFormat/>
    <w:rPr>
      <w:rFonts w:ascii="Arial" w:hAnsi="Arial"/>
      <w:b/>
      <w:sz w:val="24"/>
    </w:rPr>
  </w:style>
  <w:style w:type="character" w:styleId="Style10" w:customStyle="1">
    <w:name w:val="Верхний колонтитул Знак"/>
    <w:basedOn w:val="1"/>
    <w:qFormat/>
    <w:rPr/>
  </w:style>
  <w:style w:type="character" w:styleId="11" w:customStyle="1">
    <w:name w:val="Заголовок 1 Знак"/>
    <w:basedOn w:val="1"/>
    <w:qFormat/>
    <w:rPr>
      <w:rFonts w:ascii="Arial" w:hAnsi="Arial"/>
      <w:sz w:val="40"/>
    </w:rPr>
  </w:style>
  <w:style w:type="character" w:styleId="ConsPlusNormal" w:customStyle="1">
    <w:name w:val="ConsPlusNormal"/>
    <w:link w:val="ConsPlusNormal1"/>
    <w:qFormat/>
    <w:rPr>
      <w:sz w:val="24"/>
    </w:rPr>
  </w:style>
  <w:style w:type="character" w:styleId="Style11" w:customStyle="1">
    <w:name w:val="Перечень рисунков Знак"/>
    <w:basedOn w:val="1"/>
    <w:qFormat/>
    <w:rPr/>
  </w:style>
  <w:style w:type="character" w:styleId="Hyperlink">
    <w:name w:val="Hyperlink"/>
    <w:link w:val="14"/>
    <w:rPr>
      <w:color w:themeColor="hyperlink" w:val="0000FF"/>
      <w:u w:val="single"/>
    </w:rPr>
  </w:style>
  <w:style w:type="character" w:styleId="Footnote" w:customStyle="1">
    <w:name w:val="Footnote"/>
    <w:basedOn w:val="1"/>
    <w:link w:val="Footnote1"/>
    <w:qFormat/>
    <w:rPr>
      <w:sz w:val="18"/>
    </w:rPr>
  </w:style>
  <w:style w:type="character" w:styleId="8" w:customStyle="1">
    <w:name w:val="Заголовок 8 Знак"/>
    <w:basedOn w:val="1"/>
    <w:qFormat/>
    <w:rPr>
      <w:rFonts w:ascii="Arial" w:hAnsi="Arial"/>
      <w:i/>
      <w:sz w:val="22"/>
    </w:rPr>
  </w:style>
  <w:style w:type="character" w:styleId="12" w:customStyle="1">
    <w:name w:val="Оглавление 1 Знак"/>
    <w:basedOn w:val="1"/>
    <w:qFormat/>
    <w:rPr/>
  </w:style>
  <w:style w:type="character" w:styleId="ConsPlusTitlePage" w:customStyle="1">
    <w:name w:val="ConsPlusTitlePage"/>
    <w:link w:val="ConsPlusTitlePage1"/>
    <w:qFormat/>
    <w:rPr>
      <w:rFonts w:ascii="Tahoma" w:hAnsi="Tahoma"/>
    </w:rPr>
  </w:style>
  <w:style w:type="character" w:styleId="HeaderandFooter" w:customStyle="1">
    <w:name w:val="Header and Footer"/>
    <w:link w:val="HeaderandFooter1"/>
    <w:qFormat/>
    <w:rPr>
      <w:rFonts w:ascii="XO Thames" w:hAnsi="XO Thames"/>
      <w:sz w:val="28"/>
    </w:rPr>
  </w:style>
  <w:style w:type="character" w:styleId="91" w:customStyle="1">
    <w:name w:val="Оглавление 9 Знак"/>
    <w:basedOn w:val="1"/>
    <w:qFormat/>
    <w:rPr/>
  </w:style>
  <w:style w:type="character" w:styleId="81" w:customStyle="1">
    <w:name w:val="Оглавление 8 Знак"/>
    <w:basedOn w:val="1"/>
    <w:qFormat/>
    <w:rPr/>
  </w:style>
  <w:style w:type="character" w:styleId="ConsPlusTitle" w:customStyle="1">
    <w:name w:val="ConsPlusTitle"/>
    <w:link w:val="ConsPlusTitle1"/>
    <w:qFormat/>
    <w:rPr>
      <w:rFonts w:ascii="Arial" w:hAnsi="Arial"/>
      <w:b/>
      <w:sz w:val="24"/>
    </w:rPr>
  </w:style>
  <w:style w:type="character" w:styleId="ConsPlusCell" w:customStyle="1">
    <w:name w:val="ConsPlusCell"/>
    <w:link w:val="ConsPlusCell1"/>
    <w:qFormat/>
    <w:rPr>
      <w:rFonts w:ascii="Courier New" w:hAnsi="Courier New"/>
    </w:rPr>
  </w:style>
  <w:style w:type="character" w:styleId="51" w:customStyle="1">
    <w:name w:val="Оглавление 5 Знак"/>
    <w:basedOn w:val="1"/>
    <w:qFormat/>
    <w:rPr/>
  </w:style>
  <w:style w:type="character" w:styleId="Style12" w:customStyle="1">
    <w:name w:val="Без интервала Знак"/>
    <w:link w:val="NoSpacing"/>
    <w:qFormat/>
    <w:rPr/>
  </w:style>
  <w:style w:type="character" w:styleId="Style13" w:customStyle="1">
    <w:name w:val="Подзаголовок Знак"/>
    <w:basedOn w:val="1"/>
    <w:qFormat/>
    <w:rPr>
      <w:sz w:val="24"/>
    </w:rPr>
  </w:style>
  <w:style w:type="character" w:styleId="Style14" w:customStyle="1">
    <w:name w:val="Абзац списка Знак"/>
    <w:basedOn w:val="1"/>
    <w:link w:val="ListParagraph"/>
    <w:qFormat/>
    <w:rPr/>
  </w:style>
  <w:style w:type="character" w:styleId="Style15" w:customStyle="1">
    <w:name w:val="Заголовок Знак"/>
    <w:basedOn w:val="1"/>
    <w:qFormat/>
    <w:rPr>
      <w:sz w:val="48"/>
    </w:rPr>
  </w:style>
  <w:style w:type="character" w:styleId="41" w:customStyle="1">
    <w:name w:val="Заголовок 4 Знак"/>
    <w:basedOn w:val="1"/>
    <w:qFormat/>
    <w:rPr>
      <w:rFonts w:ascii="Arial" w:hAnsi="Arial"/>
      <w:b/>
      <w:sz w:val="26"/>
    </w:rPr>
  </w:style>
  <w:style w:type="character" w:styleId="22" w:customStyle="1">
    <w:name w:val="Заголовок 2 Знак"/>
    <w:basedOn w:val="1"/>
    <w:qFormat/>
    <w:rPr>
      <w:rFonts w:ascii="Arial" w:hAnsi="Arial"/>
      <w:sz w:val="34"/>
    </w:rPr>
  </w:style>
  <w:style w:type="character" w:styleId="Style16">
    <w:name w:val="Символ концевой сноски"/>
    <w:link w:val="15"/>
    <w:qFormat/>
    <w:rPr>
      <w:vertAlign w:val="superscript"/>
    </w:rPr>
  </w:style>
  <w:style w:type="character" w:styleId="EndnoteReference">
    <w:name w:val="endnote reference"/>
    <w:rPr>
      <w:vertAlign w:val="superscript"/>
    </w:rPr>
  </w:style>
  <w:style w:type="character" w:styleId="61" w:customStyle="1">
    <w:name w:val="Заголовок 6 Знак"/>
    <w:basedOn w:val="1"/>
    <w:qFormat/>
    <w:rPr>
      <w:rFonts w:ascii="Arial" w:hAnsi="Arial"/>
      <w:b/>
      <w:sz w:val="22"/>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link w:val="Style6"/>
    <w:qFormat/>
    <w:pPr>
      <w:spacing w:lineRule="auto" w:line="276"/>
    </w:pPr>
    <w:rPr>
      <w:b/>
      <w:color w:themeColor="accent1" w:val="4F81BD"/>
      <w:sz w:val="18"/>
    </w:rPr>
  </w:style>
  <w:style w:type="paragraph" w:styleId="Style18">
    <w:name w:val="Указатель"/>
    <w:basedOn w:val="Normal"/>
    <w:qFormat/>
    <w:pPr>
      <w:suppressLineNumbers/>
    </w:pPr>
    <w:rPr>
      <w:rFonts w:ascii="PT Astra Serif" w:hAnsi="PT Astra Serif" w:cs="Noto Sans Devanagari"/>
    </w:rPr>
  </w:style>
  <w:style w:type="paragraph" w:styleId="TOC2">
    <w:name w:val="toc 2"/>
    <w:basedOn w:val="Normal"/>
    <w:next w:val="Normal"/>
    <w:link w:val="2"/>
    <w:uiPriority w:val="39"/>
    <w:pPr>
      <w:spacing w:before="0" w:after="57"/>
      <w:ind w:left="283"/>
    </w:pPr>
    <w:rPr/>
  </w:style>
  <w:style w:type="paragraph" w:styleId="IntenseQuote">
    <w:name w:val="Intense Quote"/>
    <w:basedOn w:val="Normal"/>
    <w:next w:val="Normal"/>
    <w:link w:val="Style5"/>
    <w:qFormat/>
    <w:pPr>
      <w:pBdr>
        <w:top w:val="single" w:sz="4" w:space="5" w:color="FFFFFF"/>
        <w:left w:val="single" w:sz="4" w:space="10" w:color="FFFFFF"/>
        <w:bottom w:val="single" w:sz="4" w:space="5" w:color="FFFFFF"/>
        <w:right w:val="single" w:sz="4" w:space="10" w:color="FFFFFF"/>
      </w:pBdr>
      <w:ind w:left="720" w:right="720"/>
    </w:pPr>
    <w:rPr>
      <w:i/>
    </w:rPr>
  </w:style>
  <w:style w:type="paragraph" w:styleId="TOC4">
    <w:name w:val="toc 4"/>
    <w:basedOn w:val="Normal"/>
    <w:next w:val="Normal"/>
    <w:link w:val="4"/>
    <w:uiPriority w:val="39"/>
    <w:pPr>
      <w:spacing w:before="0" w:after="57"/>
      <w:ind w:left="850"/>
    </w:pPr>
    <w:rPr/>
  </w:style>
  <w:style w:type="paragraph" w:styleId="TOC6">
    <w:name w:val="toc 6"/>
    <w:basedOn w:val="Normal"/>
    <w:next w:val="Normal"/>
    <w:link w:val="6"/>
    <w:uiPriority w:val="39"/>
    <w:pPr>
      <w:spacing w:before="0" w:after="57"/>
      <w:ind w:left="1417"/>
    </w:pPr>
    <w:rPr/>
  </w:style>
  <w:style w:type="paragraph" w:styleId="TOC7">
    <w:name w:val="toc 7"/>
    <w:basedOn w:val="Normal"/>
    <w:next w:val="Normal"/>
    <w:link w:val="71"/>
    <w:uiPriority w:val="39"/>
    <w:pPr>
      <w:spacing w:before="0" w:after="57"/>
      <w:ind w:left="1701"/>
    </w:pPr>
    <w:rPr/>
  </w:style>
  <w:style w:type="paragraph" w:styleId="Quote">
    <w:name w:val="Quote"/>
    <w:basedOn w:val="Normal"/>
    <w:next w:val="Normal"/>
    <w:link w:val="21"/>
    <w:qFormat/>
    <w:pPr>
      <w:ind w:left="720" w:right="720"/>
    </w:pPr>
    <w:rPr>
      <w:i/>
    </w:rPr>
  </w:style>
  <w:style w:type="paragraph" w:styleId="Endnote1" w:customStyle="1">
    <w:name w:val="Endnote1"/>
    <w:basedOn w:val="Normal"/>
    <w:link w:val="Endnote"/>
    <w:qFormat/>
    <w:pPr/>
    <w:rPr/>
  </w:style>
  <w:style w:type="paragraph" w:styleId="ConsPlusJurTerm1" w:customStyle="1">
    <w:name w:val="ConsPlusJurTerm1"/>
    <w:link w:val="ConsPlusJurTerm"/>
    <w:qFormat/>
    <w:pPr>
      <w:widowControl w:val="false"/>
      <w:suppressAutoHyphens w:val="true"/>
      <w:bidi w:val="0"/>
      <w:spacing w:before="0" w:after="0"/>
      <w:jc w:val="left"/>
    </w:pPr>
    <w:rPr>
      <w:rFonts w:ascii="Tahoma" w:hAnsi="Tahoma" w:eastAsia="Times New Roman" w:cs="Times New Roman"/>
      <w:color w:val="000000"/>
      <w:kern w:val="0"/>
      <w:sz w:val="26"/>
      <w:szCs w:val="20"/>
      <w:lang w:val="ru-RU" w:eastAsia="ru-RU" w:bidi="ar-SA"/>
    </w:rPr>
  </w:style>
  <w:style w:type="paragraph" w:styleId="IndexHeading">
    <w:name w:val="index heading"/>
    <w:basedOn w:val="Style17"/>
    <w:pPr/>
    <w:rPr/>
  </w:style>
  <w:style w:type="paragraph" w:styleId="TOCHeading">
    <w:name w:val="TOC Heading"/>
    <w:link w:val="Style7"/>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TextList1" w:customStyle="1">
    <w:name w:val="ConsPlusTextList1"/>
    <w:link w:val="ConsPlusTextList"/>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OC3">
    <w:name w:val="toc 3"/>
    <w:basedOn w:val="Normal"/>
    <w:next w:val="Normal"/>
    <w:link w:val="31"/>
    <w:uiPriority w:val="39"/>
    <w:pPr>
      <w:spacing w:before="0" w:after="57"/>
      <w:ind w:left="567"/>
    </w:pPr>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Footer">
    <w:name w:val="footer"/>
    <w:basedOn w:val="Normal"/>
    <w:link w:val="Style8"/>
    <w:pPr>
      <w:tabs>
        <w:tab w:val="clear" w:pos="709"/>
        <w:tab w:val="center" w:pos="7143" w:leader="none"/>
        <w:tab w:val="right" w:pos="14287" w:leader="none"/>
      </w:tabs>
    </w:pPr>
    <w:rPr/>
  </w:style>
  <w:style w:type="paragraph" w:styleId="ConsPlusDocList1" w:customStyle="1">
    <w:name w:val="ConsPlusDocList1"/>
    <w:link w:val="ConsPlusDocList"/>
    <w:qFormat/>
    <w:pPr>
      <w:widowControl w:val="false"/>
      <w:suppressAutoHyphens w:val="true"/>
      <w:bidi w:val="0"/>
      <w:spacing w:before="0" w:after="0"/>
      <w:jc w:val="left"/>
    </w:pPr>
    <w:rPr>
      <w:rFonts w:ascii="Tahoma" w:hAnsi="Tahoma" w:eastAsia="Times New Roman" w:cs="Times New Roman"/>
      <w:color w:val="000000"/>
      <w:kern w:val="0"/>
      <w:sz w:val="18"/>
      <w:szCs w:val="20"/>
      <w:lang w:val="ru-RU" w:eastAsia="ru-RU" w:bidi="ar-SA"/>
    </w:rPr>
  </w:style>
  <w:style w:type="paragraph" w:styleId="13" w:customStyle="1">
    <w:name w:val="Знак сноски1"/>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Header">
    <w:name w:val="header"/>
    <w:basedOn w:val="Normal"/>
    <w:link w:val="Style10"/>
    <w:pPr>
      <w:tabs>
        <w:tab w:val="clear" w:pos="709"/>
        <w:tab w:val="center" w:pos="7143" w:leader="none"/>
        <w:tab w:val="right" w:pos="14287" w:leader="none"/>
      </w:tabs>
    </w:pPr>
    <w:rPr/>
  </w:style>
  <w:style w:type="paragraph" w:styleId="ConsPlusNormal1" w:customStyle="1">
    <w:name w:val="ConsPlusNormal1"/>
    <w:link w:val="ConsPlusNormal"/>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ableofFigures">
    <w:name w:val="table of figures"/>
    <w:basedOn w:val="Normal"/>
    <w:next w:val="Normal"/>
    <w:link w:val="Style11"/>
    <w:pPr/>
    <w:rPr/>
  </w:style>
  <w:style w:type="paragraph" w:styleId="14" w:customStyle="1">
    <w:name w:val="Гиперссылка1"/>
    <w:qFormat/>
    <w:pPr>
      <w:widowControl/>
      <w:suppressAutoHyphens w:val="true"/>
      <w:bidi w:val="0"/>
      <w:spacing w:before="0" w:after="0"/>
      <w:jc w:val="left"/>
    </w:pPr>
    <w:rPr>
      <w:rFonts w:ascii="Times New Roman" w:hAnsi="Times New Roman" w:eastAsia="Times New Roman" w:cs="Times New Roman"/>
      <w:color w:themeColor="hyperlink" w:val="0000FF"/>
      <w:kern w:val="0"/>
      <w:sz w:val="20"/>
      <w:szCs w:val="20"/>
      <w:u w:val="single"/>
      <w:lang w:val="ru-RU" w:eastAsia="ru-RU" w:bidi="ar-SA"/>
    </w:rPr>
  </w:style>
  <w:style w:type="paragraph" w:styleId="Footnote1" w:customStyle="1">
    <w:name w:val="Footnote1"/>
    <w:basedOn w:val="Normal"/>
    <w:link w:val="Footnote"/>
    <w:qFormat/>
    <w:pPr>
      <w:spacing w:before="0" w:after="40"/>
    </w:pPr>
    <w:rPr>
      <w:sz w:val="18"/>
    </w:rPr>
  </w:style>
  <w:style w:type="paragraph" w:styleId="TOC1">
    <w:name w:val="toc 1"/>
    <w:basedOn w:val="Normal"/>
    <w:next w:val="Normal"/>
    <w:link w:val="12"/>
    <w:uiPriority w:val="39"/>
    <w:pPr>
      <w:spacing w:before="0" w:after="57"/>
    </w:pPr>
    <w:rPr/>
  </w:style>
  <w:style w:type="paragraph" w:styleId="ConsPlusTitlePage1" w:customStyle="1">
    <w:name w:val="ConsPlusTitlePage1"/>
    <w:link w:val="ConsPlusTitlePage"/>
    <w:qFormat/>
    <w:pPr>
      <w:widowControl w:val="false"/>
      <w:suppressAutoHyphens w:val="true"/>
      <w:bidi w:val="0"/>
      <w:spacing w:before="0" w:after="0"/>
      <w:jc w:val="left"/>
    </w:pPr>
    <w:rPr>
      <w:rFonts w:ascii="Tahoma" w:hAnsi="Tahoma" w:eastAsia="Times New Roman" w:cs="Times New Roman"/>
      <w:color w:val="000000"/>
      <w:kern w:val="0"/>
      <w:sz w:val="20"/>
      <w:szCs w:val="20"/>
      <w:lang w:val="ru-RU" w:eastAsia="ru-RU" w:bidi="ar-SA"/>
    </w:rPr>
  </w:style>
  <w:style w:type="paragraph" w:styleId="TOC9">
    <w:name w:val="toc 9"/>
    <w:basedOn w:val="Normal"/>
    <w:next w:val="Normal"/>
    <w:link w:val="91"/>
    <w:uiPriority w:val="39"/>
    <w:pPr>
      <w:spacing w:before="0" w:after="57"/>
      <w:ind w:left="2268"/>
    </w:pPr>
    <w:rPr/>
  </w:style>
  <w:style w:type="paragraph" w:styleId="TOC8">
    <w:name w:val="toc 8"/>
    <w:basedOn w:val="Normal"/>
    <w:next w:val="Normal"/>
    <w:link w:val="81"/>
    <w:uiPriority w:val="39"/>
    <w:pPr>
      <w:spacing w:before="0" w:after="57"/>
      <w:ind w:left="1984"/>
    </w:pPr>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4"/>
      <w:szCs w:val="20"/>
      <w:lang w:val="ru-RU" w:eastAsia="ru-RU" w:bidi="ar-SA"/>
    </w:rPr>
  </w:style>
  <w:style w:type="paragraph" w:styleId="ConsPlusCell1" w:customStyle="1">
    <w:name w:val="ConsPlusCell1"/>
    <w:link w:val="ConsPlusCell"/>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TOC5">
    <w:name w:val="toc 5"/>
    <w:basedOn w:val="Normal"/>
    <w:next w:val="Normal"/>
    <w:link w:val="51"/>
    <w:uiPriority w:val="39"/>
    <w:pPr>
      <w:spacing w:before="0" w:after="57"/>
      <w:ind w:left="1134"/>
    </w:pPr>
    <w:rPr/>
  </w:style>
  <w:style w:type="paragraph" w:styleId="NoSpacing">
    <w:name w:val="No Spacing"/>
    <w:link w:val="Style1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ubtitle">
    <w:name w:val="Subtitle"/>
    <w:basedOn w:val="Normal"/>
    <w:next w:val="Normal"/>
    <w:link w:val="Style13"/>
    <w:uiPriority w:val="11"/>
    <w:qFormat/>
    <w:pPr>
      <w:spacing w:before="200" w:after="200"/>
    </w:pPr>
    <w:rPr>
      <w:sz w:val="24"/>
    </w:rPr>
  </w:style>
  <w:style w:type="paragraph" w:styleId="ListParagraph">
    <w:name w:val="List Paragraph"/>
    <w:basedOn w:val="Normal"/>
    <w:link w:val="Style14"/>
    <w:qFormat/>
    <w:pPr>
      <w:spacing w:before="0" w:after="0"/>
      <w:ind w:left="720"/>
      <w:contextualSpacing/>
    </w:pPr>
    <w:rPr/>
  </w:style>
  <w:style w:type="paragraph" w:styleId="Title">
    <w:name w:val="Title"/>
    <w:basedOn w:val="Normal"/>
    <w:next w:val="Normal"/>
    <w:link w:val="Style15"/>
    <w:uiPriority w:val="10"/>
    <w:qFormat/>
    <w:pPr>
      <w:spacing w:before="300" w:after="200"/>
      <w:contextualSpacing/>
    </w:pPr>
    <w:rPr>
      <w:sz w:val="48"/>
    </w:rPr>
  </w:style>
  <w:style w:type="paragraph" w:styleId="15" w:customStyle="1">
    <w:name w:val="Знак концевой сноски1"/>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16" w:customStyle="1">
    <w:name w:val="Основной шрифт абзаца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GridTable6Colorful-Accent1">
    <w:name w:val="Grid Table 6 Colorful - Accent 1"/>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styleId="33">
    <w:name w:val="Plain Table 3"/>
    <w:tblPr>
      <w:tblCellMar>
        <w:top w:w="0" w:type="dxa"/>
        <w:left w:w="0" w:type="dxa"/>
        <w:bottom w:w="0" w:type="dxa"/>
        <w:right w:w="0" w:type="dxa"/>
      </w:tblCellMar>
    </w:tblPr>
  </w:style>
  <w:style w:type="table" w:customStyle="1" w:styleId="GridTable3-Accent5">
    <w:name w:val="Grid Table 3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3-Accent3">
    <w:name w:val="Grid Table 3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GridTable1Light-Accent5">
    <w:name w:val="Grid Table 1 Light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styleId="-5">
    <w:name w:val="List Table 5 Dark"/>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style>
  <w:style w:type="table" w:customStyle="1" w:styleId="GridTable1Light-Accent4">
    <w:name w:val="Grid Table 1 Light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ListTable3-Accent2">
    <w:name w:val="List Table 3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style>
  <w:style w:type="table" w:styleId="-4">
    <w:name w:val="List Table 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style>
  <w:style w:type="table" w:styleId="-6">
    <w:name w:val="List Table 6 Colorful"/>
    <w:tblPr>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style>
  <w:style w:type="table" w:customStyle="1" w:styleId="Bordered-Accent4">
    <w:name w:val="Bordered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Bordered-Accent1">
    <w:name w:val="Bordered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BorderedLined-Accent2">
    <w:name w:val="Bordered &amp; Lined - Accent 2"/>
    <w:tblPr>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style>
  <w:style w:type="table" w:customStyle="1" w:styleId="GridTable5Dark-Accent1">
    <w:name w:val="Grid Table 5 Dark- Accent 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6Colorful-Accent2">
    <w:name w:val="List Table 6 Colorful - Accent 2"/>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style>
  <w:style w:type="table" w:customStyle="1" w:styleId="GridTable4-Accent1">
    <w:name w:val="Grid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style>
  <w:style w:type="table" w:customStyle="1" w:styleId="ListTable7Colorful-Accent2">
    <w:name w:val="List Table 7 Colorful - Accent 2"/>
    <w:tblPr>
      <w:tblBorders>
        <w:right w:val="single" w:color="D99695" w:themeColor="accent2" w:themeTint="97" w:sz="4" w:space="0"/>
      </w:tblBorders>
      <w:tblCellMar>
        <w:top w:w="0" w:type="dxa"/>
        <w:left w:w="0" w:type="dxa"/>
        <w:bottom w:w="0" w:type="dxa"/>
        <w:right w:w="0" w:type="dxa"/>
      </w:tblCellMar>
    </w:tblPr>
  </w:style>
  <w:style w:type="table" w:customStyle="1" w:styleId="ListTable7Colorful-Accent3">
    <w:name w:val="List Table 7 Colorful - Accent 3"/>
    <w:tblPr>
      <w:tblBorders>
        <w:right w:val="single" w:color="C3D69B" w:themeColor="accent3" w:themeTint="98" w:sz="4" w:space="0"/>
      </w:tblBorders>
      <w:tblCellMar>
        <w:top w:w="0" w:type="dxa"/>
        <w:left w:w="0" w:type="dxa"/>
        <w:bottom w:w="0" w:type="dxa"/>
        <w:right w:w="0" w:type="dxa"/>
      </w:tblCellMar>
    </w:tblPr>
  </w:style>
  <w:style w:type="table" w:customStyle="1" w:styleId="GridTable4-Accent3">
    <w:name w:val="Grid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style>
  <w:style w:type="table" w:customStyle="1" w:styleId="Lined-Accent3">
    <w:name w:val="Lined - Accent 3"/>
    <w:tblPr>
      <w:tblCellMar>
        <w:top w:w="0" w:type="dxa"/>
        <w:left w:w="0" w:type="dxa"/>
        <w:bottom w:w="0" w:type="dxa"/>
        <w:right w:w="0" w:type="dxa"/>
      </w:tblCellMar>
    </w:tblPr>
  </w:style>
  <w:style w:type="table" w:customStyle="1" w:styleId="ListTable5Dark-Accent4">
    <w:name w:val="List Table 5 Dark - Accent 4"/>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style>
  <w:style w:type="table" w:customStyle="1" w:styleId="ListTable1Light-Accent5">
    <w:name w:val="List Table 1 Light - Accent 5"/>
    <w:tblPr>
      <w:tblCellMar>
        <w:top w:w="0" w:type="dxa"/>
        <w:left w:w="0" w:type="dxa"/>
        <w:bottom w:w="0" w:type="dxa"/>
        <w:right w:w="0" w:type="dxa"/>
      </w:tblCellMar>
    </w:tblPr>
  </w:style>
  <w:style w:type="table" w:customStyle="1" w:styleId="ListTable5Dark-Accent6">
    <w:name w:val="List Table 5 Dark - Accent 6"/>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style>
  <w:style w:type="table" w:customStyle="1" w:styleId="ListTable7Colorful-Accent1">
    <w:name w:val="List Table 7 Colorful - Accent 1"/>
    <w:tblPr>
      <w:tblBorders>
        <w:right w:val="single" w:color="4F81BD" w:themeColor="accent1" w:sz="4" w:space="0"/>
      </w:tblBorders>
      <w:tblCellMar>
        <w:top w:w="0" w:type="dxa"/>
        <w:left w:w="0" w:type="dxa"/>
        <w:bottom w:w="0" w:type="dxa"/>
        <w:right w:w="0" w:type="dxa"/>
      </w:tblCellMar>
    </w:tblPr>
  </w:style>
  <w:style w:type="table" w:styleId="53">
    <w:name w:val="Plain Table 5"/>
    <w:tblPr>
      <w:tblCellMar>
        <w:top w:w="0" w:type="dxa"/>
        <w:left w:w="0" w:type="dxa"/>
        <w:bottom w:w="0" w:type="dxa"/>
        <w:right w:w="0" w:type="dxa"/>
      </w:tblCellMar>
    </w:tblPr>
  </w:style>
  <w:style w:type="table" w:customStyle="1" w:styleId="GridTable6Colorful-Accent5">
    <w:name w:val="Grid Table 6 Colorful - Accent 5"/>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6Colorful-Accent4">
    <w:name w:val="Grid Table 6 Colorful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GridTable7Colorful-Accent2">
    <w:name w:val="Grid Table 7 Colorful - Accent 2"/>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1Light-Accent1">
    <w:name w:val="Grid Table 1 Light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ListTable7Colorful-Accent5">
    <w:name w:val="List Table 7 Colorful - Accent 5"/>
    <w:tblPr>
      <w:tblBorders>
        <w:right w:val="single" w:color="92CCDC" w:themeColor="accent5" w:themeTint="9a" w:sz="4" w:space="0"/>
      </w:tblBorders>
      <w:tblCellMar>
        <w:top w:w="0" w:type="dxa"/>
        <w:left w:w="0" w:type="dxa"/>
        <w:bottom w:w="0" w:type="dxa"/>
        <w:right w:w="0" w:type="dxa"/>
      </w:tblCellMar>
    </w:tblPr>
  </w:style>
  <w:style w:type="table" w:styleId="25">
    <w:name w:val="Plain Table 2"/>
    <w:tblPr>
      <w:tblBorders>
        <w:top w:val="single" w:color="000000" w:themeColor="text1" w:sz="4" w:space="0"/>
        <w:left w:val="nil"/>
        <w:bottom w:val="single" w:color="000000" w:themeColor="text1" w:sz="4" w:space="0"/>
        <w:right w:val="nil"/>
      </w:tblBorders>
      <w:tblCellMar>
        <w:top w:w="0" w:type="dxa"/>
        <w:left w:w="108" w:type="dxa"/>
        <w:bottom w:w="0" w:type="dxa"/>
        <w:right w:w="108" w:type="dxa"/>
      </w:tblCellMar>
    </w:tblPr>
  </w:style>
  <w:style w:type="table" w:customStyle="1" w:styleId="Lined-Accent4">
    <w:name w:val="Lined - Accent 4"/>
    <w:tblPr>
      <w:tblCellMar>
        <w:top w:w="0" w:type="dxa"/>
        <w:left w:w="0" w:type="dxa"/>
        <w:bottom w:w="0" w:type="dxa"/>
        <w:right w:w="0" w:type="dxa"/>
      </w:tblCellMar>
    </w:tblPr>
  </w:style>
  <w:style w:type="table" w:customStyle="1" w:styleId="Bordered-Accent6">
    <w:name w:val="Bordered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styleId="afa">
    <w:name w:val="Table Gri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BorderedLined-Accent">
    <w:name w:val="Bordered &amp; Lined - Accen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style>
  <w:style w:type="table" w:customStyle="1" w:styleId="ListTable1Light-Accent4">
    <w:name w:val="List Table 1 Light - Accent 4"/>
    <w:tblPr>
      <w:tblCellMar>
        <w:top w:w="0" w:type="dxa"/>
        <w:left w:w="0" w:type="dxa"/>
        <w:bottom w:w="0" w:type="dxa"/>
        <w:right w:w="0" w:type="dxa"/>
      </w:tblCellMar>
    </w:tblPr>
  </w:style>
  <w:style w:type="table" w:customStyle="1" w:styleId="ListTable6Colorful-Accent6">
    <w:name w:val="List Table 6 Colorful - Accent 6"/>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style>
  <w:style w:type="table" w:customStyle="1" w:styleId="ListTable3-Accent1">
    <w:name w:val="List Table 3 - Accent 1"/>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style>
  <w:style w:type="table" w:customStyle="1" w:styleId="ListTable5Dark-Accent1">
    <w:name w:val="List Table 5 Dark - Accent 1"/>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style>
  <w:style w:type="table" w:customStyle="1" w:styleId="ListTable2-Accent4">
    <w:name w:val="List Table 2 - Accent 4"/>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customStyle="1" w:styleId="Lined-Accent2">
    <w:name w:val="Lined - Accent 2"/>
    <w:tblPr>
      <w:tblCellMar>
        <w:top w:w="0" w:type="dxa"/>
        <w:left w:w="0" w:type="dxa"/>
        <w:bottom w:w="0" w:type="dxa"/>
        <w:right w:w="0" w:type="dxa"/>
      </w:tblCellMar>
    </w:tblPr>
  </w:style>
  <w:style w:type="table" w:customStyle="1" w:styleId="GridTable5Dark-Accent2">
    <w:name w:val="Grid Table 5 Dark - Accent 2"/>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3-Accent4">
    <w:name w:val="List Table 3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style>
  <w:style w:type="table" w:customStyle="1" w:styleId="Lined-Accent5">
    <w:name w:val="Lined - Accent 5"/>
    <w:tblPr>
      <w:tblCellMar>
        <w:top w:w="0" w:type="dxa"/>
        <w:left w:w="0" w:type="dxa"/>
        <w:bottom w:w="0" w:type="dxa"/>
        <w:right w:w="0" w:type="dxa"/>
      </w:tblCellMar>
    </w:tblPr>
  </w:style>
  <w:style w:type="table" w:styleId="43">
    <w:name w:val="Plain Table 4"/>
    <w:tblPr>
      <w:tblCellMar>
        <w:top w:w="0" w:type="dxa"/>
        <w:left w:w="0" w:type="dxa"/>
        <w:bottom w:w="0" w:type="dxa"/>
        <w:right w:w="0" w:type="dxa"/>
      </w:tblCellMar>
    </w:tblPr>
  </w:style>
  <w:style w:type="table" w:customStyle="1" w:styleId="GridTable7Colorful-Accent3">
    <w:name w:val="Grid Table 7 Colorful - Accent 3"/>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1Light-Accent6">
    <w:name w:val="List Table 1 Light - Accent 6"/>
    <w:tblPr>
      <w:tblCellMar>
        <w:top w:w="0" w:type="dxa"/>
        <w:left w:w="0" w:type="dxa"/>
        <w:bottom w:w="0" w:type="dxa"/>
        <w:right w:w="0" w:type="dxa"/>
      </w:tblCellMar>
    </w:tblPr>
  </w:style>
  <w:style w:type="table" w:customStyle="1" w:styleId="ListTable5Dark-Accent2">
    <w:name w:val="List Table 5 Dark - Accent 2"/>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style>
  <w:style w:type="table" w:customStyle="1" w:styleId="GridTable6Colorful-Accent6">
    <w:name w:val="Grid Table 6 Colorful - Accent 6"/>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2-Accent4">
    <w:name w:val="Grid Table 2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6Colorful-Accent4">
    <w:name w:val="List Table 6 Colorful - Accent 4"/>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style>
  <w:style w:type="table" w:customStyle="1" w:styleId="ListTable4-Accent6">
    <w:name w:val="List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GridTable7Colorful-Accent4">
    <w:name w:val="Grid Table 7 Colorful - Accent 4"/>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2-Accent5">
    <w:name w:val="List Table 2 - Accent 5"/>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5Dark-Accent5">
    <w:name w:val="Grid Table 5 Dark - Accent 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BorderedLined-Accent3">
    <w:name w:val="Bordered &amp; Lined - Accent 3"/>
    <w:tblPr>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style>
  <w:style w:type="table" w:customStyle="1" w:styleId="Lined-Accent6">
    <w:name w:val="Lined - Accent 6"/>
    <w:tblPr>
      <w:tblCellMar>
        <w:top w:w="0" w:type="dxa"/>
        <w:left w:w="0" w:type="dxa"/>
        <w:bottom w:w="0" w:type="dxa"/>
        <w:right w:w="0" w:type="dxa"/>
      </w:tblCellMar>
    </w:tblPr>
  </w:style>
  <w:style w:type="table" w:styleId="18">
    <w:name w:val="Plain Table 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Bordered-Accent5">
    <w:name w:val="Bordered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customStyle="1" w:styleId="BorderedLined-Accent1">
    <w:name w:val="Bordered &amp; Lined - Accent 1"/>
    <w:tblPr>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style>
  <w:style w:type="table" w:customStyle="1" w:styleId="Lined-Accent">
    <w:name w:val="Lined - Accent"/>
    <w:tblPr>
      <w:tblCellMar>
        <w:top w:w="0" w:type="dxa"/>
        <w:left w:w="0" w:type="dxa"/>
        <w:bottom w:w="0" w:type="dxa"/>
        <w:right w:w="0" w:type="dxa"/>
      </w:tblCellMar>
    </w:tblPr>
  </w:style>
  <w:style w:type="table" w:customStyle="1" w:styleId="ListTable4-Accent5">
    <w:name w:val="List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3-Accent1">
    <w:name w:val="Grid Table 3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ListTable4-Accent1">
    <w:name w:val="List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customStyle="1" w:styleId="GridTable2-Accent1">
    <w:name w:val="Grid Table 2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GridTable7Colorful-Accent5">
    <w:name w:val="Grid Table 7 Colorful - Accent 5"/>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customStyle="1" w:styleId="GridTable1Light-Accent2">
    <w:name w:val="Grid Table 1 Light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styleId="-7">
    <w:name w:val="List Table 7 Colorful"/>
    <w:tblPr>
      <w:tblBorders>
        <w:right w:val="single" w:color="7F7F7F" w:themeColor="text1" w:themeTint="80" w:sz="4" w:space="0"/>
      </w:tblBorders>
      <w:tblCellMar>
        <w:top w:w="0" w:type="dxa"/>
        <w:left w:w="0" w:type="dxa"/>
        <w:bottom w:w="0" w:type="dxa"/>
        <w:right w:w="0" w:type="dxa"/>
      </w:tblCellMar>
    </w:tblPr>
  </w:style>
  <w:style w:type="table" w:customStyle="1" w:styleId="GridTable4-Accent2">
    <w:name w:val="Grid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style>
  <w:style w:type="table" w:customStyle="1" w:styleId="GridTable7Colorful-Accent6">
    <w:name w:val="Grid Table 7 Colorful - Accent 6"/>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4-Accent4">
    <w:name w:val="Grid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style>
  <w:style w:type="table" w:customStyle="1" w:styleId="ListTable1Light-Accent1">
    <w:name w:val="List Table 1 Light - Accent 1"/>
    <w:tblPr>
      <w:tblCellMar>
        <w:top w:w="0" w:type="dxa"/>
        <w:left w:w="0" w:type="dxa"/>
        <w:bottom w:w="0" w:type="dxa"/>
        <w:right w:w="0" w:type="dxa"/>
      </w:tblCellMar>
    </w:tblPr>
  </w:style>
  <w:style w:type="table" w:customStyle="1" w:styleId="BorderedLined-Accent6">
    <w:name w:val="Bordered &amp; Lined - Accent 6"/>
    <w:tblPr>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style>
  <w:style w:type="table" w:customStyle="1" w:styleId="ListTable2-Accent1">
    <w:name w:val="List Table 2 - Accent 1"/>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styleId="-3">
    <w:name w:val="Grid Table 3"/>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customStyle="1" w:styleId="TableGridLight">
    <w:name w:val="Table Grid Ligh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2-Accent6">
    <w:name w:val="Grid Table 2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5Dark-Accent4">
    <w:name w:val="Grid Table 5 Dark- Accent 4"/>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styleId="-60">
    <w:name w:val="Grid Table 6 Colorful"/>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customStyle="1" w:styleId="GridTable4-Accent6">
    <w:name w:val="Grid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6Colorful-Accent3">
    <w:name w:val="Grid Table 6 Colorful - Accent 3"/>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2-Accent2">
    <w:name w:val="List Table 2 - Accent 2"/>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2">
    <w:name w:val="Grid Table 2"/>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styleId="-40">
    <w:name w:val="Grid Table 4"/>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style>
  <w:style w:type="table" w:customStyle="1" w:styleId="ListTable5Dark-Accent3">
    <w:name w:val="List Table 5 Dark - Accent 3"/>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style>
  <w:style w:type="table" w:customStyle="1" w:styleId="BorderedLined-Accent5">
    <w:name w:val="Bordered &amp; Lined - Accent 5"/>
    <w:tblPr>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style>
  <w:style w:type="table" w:styleId="-30">
    <w:name w:val="List Table 3"/>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style>
  <w:style w:type="table" w:customStyle="1" w:styleId="GridTable3-Accent4">
    <w:name w:val="Grid Table 3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7Colorful-Accent4">
    <w:name w:val="List Table 7 Colorful - Accent 4"/>
    <w:tblPr>
      <w:tblBorders>
        <w:right w:val="single" w:color="B2A1C6" w:themeColor="accent4" w:themeTint="9a" w:sz="4" w:space="0"/>
      </w:tblBorders>
      <w:tblCellMar>
        <w:top w:w="0" w:type="dxa"/>
        <w:left w:w="0" w:type="dxa"/>
        <w:bottom w:w="0" w:type="dxa"/>
        <w:right w:w="0" w:type="dxa"/>
      </w:tblCellMar>
    </w:tblPr>
  </w:style>
  <w:style w:type="table" w:customStyle="1" w:styleId="Bordered-Accent3">
    <w:name w:val="Bordered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4-Accent3">
    <w:name w:val="List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ListTable2-Accent3">
    <w:name w:val="List Table 2 - Accent 3"/>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Bordered">
    <w:name w:val="Bordered"/>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style>
  <w:style w:type="table" w:customStyle="1" w:styleId="BorderedLined-Accent4">
    <w:name w:val="Bordered &amp; Lined - Accent 4"/>
    <w:tblPr>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style>
  <w:style w:type="table" w:customStyle="1" w:styleId="GridTable1Light-Accent6">
    <w:name w:val="Grid Table 1 Light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customStyle="1" w:styleId="GridTable5Dark-Accent6">
    <w:name w:val="Grid Table 5 Dark - Accent 6"/>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1Light-Accent2">
    <w:name w:val="List Table 1 Light - Accent 2"/>
    <w:tblPr>
      <w:tblCellMar>
        <w:top w:w="0" w:type="dxa"/>
        <w:left w:w="0" w:type="dxa"/>
        <w:bottom w:w="0" w:type="dxa"/>
        <w:right w:w="0" w:type="dxa"/>
      </w:tblCellMar>
    </w:tblPr>
  </w:style>
  <w:style w:type="table" w:customStyle="1" w:styleId="ListTable3-Accent3">
    <w:name w:val="List Table 3 - Accent 3"/>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style>
  <w:style w:type="table" w:customStyle="1" w:styleId="ListTable4-Accent2">
    <w:name w:val="List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1">
    <w:name w:val="List Table 1 Light"/>
    <w:tblPr>
      <w:tblCellMar>
        <w:top w:w="0" w:type="dxa"/>
        <w:left w:w="0" w:type="dxa"/>
        <w:bottom w:w="0" w:type="dxa"/>
        <w:right w:w="0" w:type="dxa"/>
      </w:tblCellMar>
    </w:tblPr>
  </w:style>
  <w:style w:type="table" w:customStyle="1" w:styleId="ListTable4-Accent4">
    <w:name w:val="List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styleId="-70">
    <w:name w:val="Grid Table 7 Colorful"/>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styleId="-10">
    <w:name w:val="Grid Table 1 Ligh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style>
  <w:style w:type="table" w:customStyle="1" w:styleId="Bordered-Accent2">
    <w:name w:val="Bordered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customStyle="1" w:styleId="GridTable7Colorful-Accent1">
    <w:name w:val="Grid Table 7 Colorful - Accent 1"/>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customStyle="1" w:styleId="ListTable6Colorful-Accent1">
    <w:name w:val="List Table 6 Colorful - Accent 1"/>
    <w:tblPr>
      <w:tblBorders>
        <w:top w:val="single" w:color="4F81BD" w:themeColor="accent1" w:sz="4" w:space="0"/>
        <w:bottom w:val="single" w:color="4F81BD" w:themeColor="accent1" w:sz="4" w:space="0"/>
      </w:tblBorders>
      <w:tblCellMar>
        <w:top w:w="0" w:type="dxa"/>
        <w:left w:w="0" w:type="dxa"/>
        <w:bottom w:w="0" w:type="dxa"/>
        <w:right w:w="0" w:type="dxa"/>
      </w:tblCellMar>
    </w:tblPr>
  </w:style>
  <w:style w:type="table" w:styleId="-50">
    <w:name w:val="Grid Table 5 Dark"/>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2-Accent6">
    <w:name w:val="List Table 2 - Accent 6"/>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ListTable6Colorful-Accent5">
    <w:name w:val="List Table 6 Colorful - Accent 5"/>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style>
  <w:style w:type="table" w:customStyle="1" w:styleId="GridTable2-Accent2">
    <w:name w:val="Grid Table 2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stTable6Colorful-Accent3">
    <w:name w:val="List Table 6 Colorful - Accent 3"/>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style>
  <w:style w:type="table" w:customStyle="1" w:styleId="ListTable1Light-Accent3">
    <w:name w:val="List Table 1 Light - Accent 3"/>
    <w:tblPr>
      <w:tblCellMar>
        <w:top w:w="0" w:type="dxa"/>
        <w:left w:w="0" w:type="dxa"/>
        <w:bottom w:w="0" w:type="dxa"/>
        <w:right w:w="0" w:type="dxa"/>
      </w:tblCellMar>
    </w:tblPr>
  </w:style>
  <w:style w:type="table" w:customStyle="1" w:styleId="GridTable1Light-Accent3">
    <w:name w:val="Grid Table 1 Light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7Colorful-Accent6">
    <w:name w:val="List Table 7 Colorful - Accent 6"/>
    <w:tblPr>
      <w:tblBorders>
        <w:right w:val="single" w:color="FAC090" w:themeColor="accent6" w:themeTint="98" w:sz="4" w:space="0"/>
      </w:tblBorders>
      <w:tblCellMar>
        <w:top w:w="0" w:type="dxa"/>
        <w:left w:w="0" w:type="dxa"/>
        <w:bottom w:w="0" w:type="dxa"/>
        <w:right w:w="0" w:type="dxa"/>
      </w:tblCellMar>
    </w:tblPr>
  </w:style>
  <w:style w:type="table" w:customStyle="1" w:styleId="GridTable2-Accent3">
    <w:name w:val="Grid Table 2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3-Accent6">
    <w:name w:val="List Table 3 - Accent 6"/>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style>
  <w:style w:type="table" w:customStyle="1" w:styleId="GridTable3-Accent2">
    <w:name w:val="Grid Table 3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2-Accent5">
    <w:name w:val="Grid Table 2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ListTable5Dark-Accent5">
    <w:name w:val="List Table 5 Dark - Accent 5"/>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style>
  <w:style w:type="table" w:customStyle="1" w:styleId="GridTable5Dark-Accent3">
    <w:name w:val="Grid Table 5 Dark - Accent 3"/>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GridTable3-Accent6">
    <w:name w:val="Grid Table 3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4-Accent5">
    <w:name w:val="Grid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styleId="-20">
    <w:name w:val="List Table 2"/>
    <w:tblPr>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style>
  <w:style w:type="table" w:customStyle="1" w:styleId="ListTable3-Accent5">
    <w:name w:val="List Table 3 - Accent 5"/>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style>
  <w:style w:type="table" w:customStyle="1" w:styleId="GridTable6Colorful-Accent2">
    <w:name w:val="Grid Table 6 Colorful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ned-Accent1">
    <w:name w:val="Lined - Accent 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gkr.ru/" TargetMode="External"/><Relationship Id="rId3" Type="http://schemas.openxmlformats.org/officeDocument/2006/relationships/hyperlink" Target="mailto:mail@kgk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LibreOffice/24.8.4.2$Linux_X86_64 LibreOffice_project/480$Build-2</Application>
  <AppVersion>15.0000</AppVersion>
  <Pages>11</Pages>
  <Words>3793</Words>
  <Characters>28356</Characters>
  <CharactersWithSpaces>32414</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2025-12-24T10:23:00Z</dcterms:created>
  <dc:creator>Курценбаум Екатерина Юрьевна</dc:creator>
  <dc:description/>
  <dc:language>ru-RU</dc:language>
  <cp:lastModifiedBy/>
  <dcterms:modified xsi:type="dcterms:W3CDTF">2026-06-17T13:40:48Z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